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A21EC" w14:textId="0A1C41CF" w:rsidR="00CB10EF" w:rsidRDefault="00CB10EF" w:rsidP="00CB10EF">
      <w:pPr>
        <w:pStyle w:val="CRCoverPage"/>
        <w:tabs>
          <w:tab w:val="right" w:pos="9639"/>
        </w:tabs>
        <w:spacing w:after="0"/>
        <w:rPr>
          <w:b/>
          <w:i/>
          <w:noProof/>
          <w:sz w:val="28"/>
          <w:lang w:eastAsia="zh-CN"/>
        </w:rPr>
      </w:pPr>
      <w:bookmarkStart w:id="0" w:name="_Ref399006623"/>
      <w:bookmarkStart w:id="1" w:name="_Toc92513360"/>
      <w:r>
        <w:rPr>
          <w:b/>
          <w:noProof/>
          <w:sz w:val="24"/>
          <w:lang w:eastAsia="zh-CN"/>
        </w:rPr>
        <w:t>3GPP TSG- WG4 Meeting # 115</w:t>
      </w:r>
      <w:r>
        <w:rPr>
          <w:b/>
          <w:i/>
          <w:noProof/>
          <w:sz w:val="28"/>
          <w:lang w:eastAsia="zh-CN"/>
        </w:rPr>
        <w:tab/>
      </w:r>
      <w:bookmarkStart w:id="2" w:name="_GoBack"/>
      <w:r w:rsidRPr="00201C2F">
        <w:rPr>
          <w:b/>
          <w:i/>
          <w:noProof/>
          <w:sz w:val="28"/>
          <w:lang w:eastAsia="zh-CN"/>
        </w:rPr>
        <w:t>R4-250532</w:t>
      </w:r>
      <w:r>
        <w:rPr>
          <w:b/>
          <w:i/>
          <w:noProof/>
          <w:sz w:val="28"/>
          <w:lang w:eastAsia="zh-CN"/>
        </w:rPr>
        <w:t>2</w:t>
      </w:r>
      <w:bookmarkEnd w:id="2"/>
    </w:p>
    <w:p w14:paraId="0ABFDA12" w14:textId="041411F6" w:rsidR="00BB0647" w:rsidRDefault="00CB10EF" w:rsidP="00CB10EF">
      <w:pPr>
        <w:pStyle w:val="CRCoverPage"/>
        <w:outlineLvl w:val="0"/>
        <w:rPr>
          <w:b/>
          <w:noProof/>
          <w:sz w:val="24"/>
        </w:rPr>
      </w:pPr>
      <w:r w:rsidRPr="00BF5557">
        <w:rPr>
          <w:rFonts w:cs="Arial"/>
          <w:b/>
          <w:sz w:val="24"/>
          <w:szCs w:val="24"/>
          <w:lang w:eastAsia="zh-CN"/>
        </w:rPr>
        <w:t xml:space="preserve">St Julian’s, </w:t>
      </w:r>
      <w:r>
        <w:rPr>
          <w:rFonts w:cs="Arial"/>
          <w:b/>
          <w:sz w:val="24"/>
          <w:szCs w:val="24"/>
          <w:lang w:eastAsia="zh-CN"/>
        </w:rPr>
        <w:t>Malta</w:t>
      </w:r>
      <w:r w:rsidRPr="00BF5557">
        <w:rPr>
          <w:rFonts w:cs="Arial"/>
          <w:b/>
          <w:sz w:val="24"/>
          <w:szCs w:val="24"/>
          <w:lang w:eastAsia="zh-CN"/>
        </w:rPr>
        <w:t xml:space="preserve">, </w:t>
      </w:r>
      <w:r>
        <w:rPr>
          <w:rFonts w:cs="Arial"/>
          <w:b/>
          <w:sz w:val="24"/>
          <w:szCs w:val="24"/>
          <w:lang w:eastAsia="zh-CN"/>
        </w:rPr>
        <w:t>19</w:t>
      </w:r>
      <w:r w:rsidRPr="00BF5557">
        <w:rPr>
          <w:rFonts w:cs="Arial"/>
          <w:b/>
          <w:sz w:val="24"/>
          <w:szCs w:val="24"/>
          <w:lang w:eastAsia="zh-CN"/>
        </w:rPr>
        <w:t xml:space="preserve">th – </w:t>
      </w:r>
      <w:r>
        <w:rPr>
          <w:rFonts w:cs="Arial"/>
          <w:b/>
          <w:sz w:val="24"/>
          <w:szCs w:val="24"/>
          <w:lang w:eastAsia="zh-CN"/>
        </w:rPr>
        <w:t>25</w:t>
      </w:r>
      <w:r w:rsidRPr="00BF5557">
        <w:rPr>
          <w:rFonts w:cs="Arial"/>
          <w:b/>
          <w:sz w:val="24"/>
          <w:szCs w:val="24"/>
          <w:lang w:eastAsia="zh-CN"/>
        </w:rPr>
        <w:t xml:space="preserve">th </w:t>
      </w:r>
      <w:r>
        <w:rPr>
          <w:rFonts w:cs="Arial"/>
          <w:b/>
          <w:sz w:val="24"/>
          <w:szCs w:val="24"/>
          <w:lang w:eastAsia="zh-CN"/>
        </w:rPr>
        <w:t>May</w:t>
      </w:r>
      <w:r w:rsidRPr="00BF5557">
        <w:rPr>
          <w:rFonts w:cs="Arial"/>
          <w:b/>
          <w:sz w:val="24"/>
          <w:szCs w:val="24"/>
          <w:lang w:eastAsia="zh-CN"/>
        </w:rPr>
        <w:t xml:space="preserve"> 2025</w:t>
      </w:r>
    </w:p>
    <w:p w14:paraId="0ED3F343" w14:textId="77777777" w:rsidR="00337A21" w:rsidRPr="00BB0647" w:rsidRDefault="00337A21" w:rsidP="00337A21">
      <w:pPr>
        <w:pBdr>
          <w:top w:val="single" w:sz="4" w:space="1" w:color="auto"/>
        </w:pBdr>
        <w:spacing w:after="0"/>
        <w:rPr>
          <w:rFonts w:ascii="Arial" w:hAnsi="Arial" w:cs="Arial"/>
          <w:b/>
          <w:kern w:val="2"/>
          <w:sz w:val="16"/>
          <w:szCs w:val="16"/>
        </w:rPr>
      </w:pPr>
    </w:p>
    <w:p w14:paraId="7428117A" w14:textId="77777777" w:rsidR="00911C40" w:rsidRPr="00C36042" w:rsidRDefault="00911C40" w:rsidP="00911C40">
      <w:pPr>
        <w:tabs>
          <w:tab w:val="left" w:pos="1985"/>
        </w:tabs>
        <w:jc w:val="both"/>
        <w:rPr>
          <w:rFonts w:ascii="Arial" w:hAnsi="Arial" w:cs="Arial"/>
          <w:b/>
          <w:sz w:val="22"/>
        </w:rPr>
      </w:pPr>
      <w:r w:rsidRPr="00C36042">
        <w:rPr>
          <w:rFonts w:ascii="Arial" w:hAnsi="Arial" w:cs="Arial"/>
          <w:b/>
          <w:sz w:val="22"/>
        </w:rPr>
        <w:t xml:space="preserve">Source: </w:t>
      </w:r>
      <w:r w:rsidRPr="00C36042">
        <w:rPr>
          <w:rFonts w:ascii="Arial" w:hAnsi="Arial" w:cs="Arial"/>
          <w:b/>
          <w:sz w:val="22"/>
        </w:rPr>
        <w:tab/>
      </w:r>
      <w:r w:rsidRPr="00C36042">
        <w:rPr>
          <w:rFonts w:ascii="Arial" w:hAnsi="Arial" w:cs="Arial"/>
          <w:sz w:val="22"/>
        </w:rPr>
        <w:t>Huawei, Hi</w:t>
      </w:r>
      <w:r w:rsidR="00D33A45" w:rsidRPr="00C36042">
        <w:rPr>
          <w:rFonts w:ascii="Arial" w:hAnsi="Arial" w:cs="Arial"/>
          <w:sz w:val="22"/>
        </w:rPr>
        <w:t>S</w:t>
      </w:r>
      <w:r w:rsidRPr="00C36042">
        <w:rPr>
          <w:rFonts w:ascii="Arial" w:hAnsi="Arial" w:cs="Arial"/>
          <w:sz w:val="22"/>
        </w:rPr>
        <w:t>ilicon</w:t>
      </w:r>
    </w:p>
    <w:p w14:paraId="403361BE" w14:textId="1A944F31" w:rsidR="00911C40" w:rsidRPr="00C36042" w:rsidRDefault="00911C40" w:rsidP="00D548AB">
      <w:pPr>
        <w:ind w:left="1985" w:hanging="1985"/>
        <w:rPr>
          <w:rFonts w:ascii="Arial" w:hAnsi="Arial" w:cs="Arial"/>
          <w:sz w:val="22"/>
        </w:rPr>
      </w:pPr>
      <w:r w:rsidRPr="00C36042">
        <w:rPr>
          <w:rFonts w:ascii="Arial" w:hAnsi="Arial" w:cs="Arial"/>
          <w:b/>
          <w:sz w:val="22"/>
        </w:rPr>
        <w:t>Title:</w:t>
      </w:r>
      <w:r w:rsidRPr="00C36042">
        <w:rPr>
          <w:rFonts w:ascii="Arial" w:hAnsi="Arial" w:cs="Arial"/>
          <w:sz w:val="22"/>
        </w:rPr>
        <w:t xml:space="preserve"> </w:t>
      </w:r>
      <w:r w:rsidRPr="00C36042">
        <w:rPr>
          <w:rFonts w:ascii="Arial" w:hAnsi="Arial" w:cs="Arial"/>
          <w:sz w:val="22"/>
        </w:rPr>
        <w:tab/>
      </w:r>
      <w:r w:rsidR="00472847" w:rsidRPr="00472847">
        <w:rPr>
          <w:rFonts w:ascii="Arial" w:hAnsi="Arial" w:cs="Arial"/>
          <w:sz w:val="22"/>
        </w:rPr>
        <w:t>Discussion on LB-LB switching</w:t>
      </w:r>
    </w:p>
    <w:p w14:paraId="0E398992" w14:textId="5172B31D" w:rsidR="00911C40" w:rsidRPr="00C36042" w:rsidRDefault="00911C40" w:rsidP="00911C40">
      <w:pPr>
        <w:ind w:left="1985" w:hanging="1985"/>
        <w:rPr>
          <w:rFonts w:ascii="Arial" w:hAnsi="Arial" w:cs="Arial"/>
          <w:sz w:val="22"/>
        </w:rPr>
      </w:pPr>
      <w:r w:rsidRPr="00C36042">
        <w:rPr>
          <w:rFonts w:ascii="Arial" w:hAnsi="Arial" w:cs="Arial"/>
          <w:b/>
          <w:sz w:val="22"/>
        </w:rPr>
        <w:t>Agenda Item:</w:t>
      </w:r>
      <w:r w:rsidRPr="00C36042">
        <w:rPr>
          <w:rFonts w:ascii="Arial" w:hAnsi="Arial" w:cs="Arial"/>
          <w:sz w:val="22"/>
        </w:rPr>
        <w:tab/>
      </w:r>
      <w:r w:rsidR="00CB10EF" w:rsidRPr="00CB10EF">
        <w:rPr>
          <w:rFonts w:ascii="Arial" w:hAnsi="Arial" w:cs="Arial"/>
          <w:sz w:val="22"/>
        </w:rPr>
        <w:t>7.7.3</w:t>
      </w:r>
    </w:p>
    <w:p w14:paraId="505F6DD2" w14:textId="77777777" w:rsidR="00911C40" w:rsidRPr="00C36042" w:rsidRDefault="00911C40" w:rsidP="00911C40">
      <w:pPr>
        <w:tabs>
          <w:tab w:val="left" w:pos="1985"/>
        </w:tabs>
        <w:jc w:val="both"/>
        <w:rPr>
          <w:rFonts w:ascii="Arial" w:hAnsi="Arial" w:cs="Arial"/>
          <w:sz w:val="22"/>
        </w:rPr>
      </w:pPr>
      <w:r w:rsidRPr="00C36042">
        <w:rPr>
          <w:rFonts w:ascii="Arial" w:hAnsi="Arial" w:cs="Arial"/>
          <w:b/>
          <w:sz w:val="22"/>
        </w:rPr>
        <w:t>Document for:</w:t>
      </w:r>
      <w:r w:rsidRPr="00C36042">
        <w:rPr>
          <w:rFonts w:ascii="Arial" w:hAnsi="Arial" w:cs="Arial"/>
          <w:sz w:val="22"/>
        </w:rPr>
        <w:tab/>
      </w:r>
      <w:r w:rsidR="007726BB" w:rsidRPr="00C36042">
        <w:rPr>
          <w:rFonts w:ascii="Arial" w:hAnsi="Arial" w:cs="Arial"/>
          <w:sz w:val="22"/>
        </w:rPr>
        <w:t>Approval</w:t>
      </w:r>
    </w:p>
    <w:bookmarkEnd w:id="0"/>
    <w:bookmarkEnd w:id="1"/>
    <w:p w14:paraId="7804EB93" w14:textId="77777777" w:rsidR="00AD4188" w:rsidRPr="00C36042" w:rsidRDefault="00062E8E" w:rsidP="00F23E96">
      <w:pPr>
        <w:pStyle w:val="1"/>
        <w:spacing w:after="240"/>
        <w:rPr>
          <w:rFonts w:eastAsia="宋体" w:cs="Arial"/>
          <w:lang w:eastAsia="zh-CN"/>
        </w:rPr>
      </w:pPr>
      <w:r w:rsidRPr="00C36042">
        <w:rPr>
          <w:rFonts w:eastAsia="宋体" w:cs="Arial"/>
          <w:lang w:eastAsia="zh-CN"/>
        </w:rPr>
        <w:t>Introduction</w:t>
      </w:r>
    </w:p>
    <w:p w14:paraId="580D647B" w14:textId="42119FD3" w:rsidR="00DF0090" w:rsidRDefault="00224710" w:rsidP="003E2C26">
      <w:pPr>
        <w:spacing w:afterLines="50" w:after="120"/>
        <w:rPr>
          <w:lang w:val="en-US"/>
        </w:rPr>
      </w:pPr>
      <w:r>
        <w:rPr>
          <w:rFonts w:hint="eastAsia"/>
          <w:lang w:val="en-US"/>
        </w:rPr>
        <w:t>I</w:t>
      </w:r>
      <w:r>
        <w:rPr>
          <w:lang w:val="en-US"/>
        </w:rPr>
        <w:t>n RAN</w:t>
      </w:r>
      <w:r w:rsidR="008575EE">
        <w:rPr>
          <w:lang w:val="en-US"/>
        </w:rPr>
        <w:t>4</w:t>
      </w:r>
      <w:r>
        <w:rPr>
          <w:lang w:val="en-US"/>
        </w:rPr>
        <w:t>#1</w:t>
      </w:r>
      <w:r w:rsidR="008575EE">
        <w:rPr>
          <w:lang w:val="en-US"/>
        </w:rPr>
        <w:t>14bis</w:t>
      </w:r>
      <w:r w:rsidR="00C06694">
        <w:rPr>
          <w:lang w:val="en-US"/>
        </w:rPr>
        <w:t xml:space="preserve">, the </w:t>
      </w:r>
      <w:r w:rsidR="008575EE">
        <w:rPr>
          <w:lang w:val="en-US"/>
        </w:rPr>
        <w:t>WF</w:t>
      </w:r>
      <w:r w:rsidR="00060078">
        <w:rPr>
          <w:lang w:val="en-US"/>
        </w:rPr>
        <w:t xml:space="preserve"> </w:t>
      </w:r>
      <w:r w:rsidR="00DF0090">
        <w:rPr>
          <w:rFonts w:hint="eastAsia"/>
          <w:lang w:val="en-US"/>
        </w:rPr>
        <w:t>[</w:t>
      </w:r>
      <w:r w:rsidR="00DF0090">
        <w:rPr>
          <w:lang w:val="en-US"/>
        </w:rPr>
        <w:t xml:space="preserve">1] </w:t>
      </w:r>
      <w:r w:rsidR="00DF0090">
        <w:rPr>
          <w:rFonts w:hint="eastAsia"/>
          <w:lang w:val="en-US"/>
        </w:rPr>
        <w:t>for</w:t>
      </w:r>
      <w:r w:rsidR="00DF0090">
        <w:rPr>
          <w:lang w:val="en-US"/>
        </w:rPr>
        <w:t xml:space="preserve"> </w:t>
      </w:r>
      <w:r w:rsidR="00BA3D90" w:rsidRPr="00BA3D90">
        <w:rPr>
          <w:lang w:val="en-US"/>
        </w:rPr>
        <w:t>Low band carrier aggregation via switching</w:t>
      </w:r>
      <w:r w:rsidR="00DF0090">
        <w:rPr>
          <w:lang w:val="en-US"/>
        </w:rPr>
        <w:t xml:space="preserve"> </w:t>
      </w:r>
      <w:r w:rsidR="00DF0090">
        <w:rPr>
          <w:rFonts w:hint="eastAsia"/>
          <w:lang w:val="en-US"/>
        </w:rPr>
        <w:t>was</w:t>
      </w:r>
      <w:r w:rsidR="00DF0090">
        <w:rPr>
          <w:lang w:val="en-US"/>
        </w:rPr>
        <w:t xml:space="preserve"> </w:t>
      </w:r>
      <w:r w:rsidR="00DF0090">
        <w:rPr>
          <w:rFonts w:hint="eastAsia"/>
          <w:lang w:val="en-US"/>
        </w:rPr>
        <w:t>approved</w:t>
      </w:r>
      <w:r w:rsidR="00DF0090">
        <w:rPr>
          <w:lang w:val="en-US"/>
        </w:rPr>
        <w:t xml:space="preserve"> </w:t>
      </w:r>
      <w:r w:rsidR="008575EE">
        <w:rPr>
          <w:lang w:val="en-US"/>
        </w:rPr>
        <w:t>with the following issues.</w:t>
      </w:r>
    </w:p>
    <w:tbl>
      <w:tblPr>
        <w:tblStyle w:val="aff"/>
        <w:tblW w:w="0" w:type="auto"/>
        <w:tblLook w:val="04A0" w:firstRow="1" w:lastRow="0" w:firstColumn="1" w:lastColumn="0" w:noHBand="0" w:noVBand="1"/>
      </w:tblPr>
      <w:tblGrid>
        <w:gridCol w:w="9629"/>
      </w:tblGrid>
      <w:tr w:rsidR="00C36042" w14:paraId="2E2BC247" w14:textId="77777777" w:rsidTr="00C36042">
        <w:tc>
          <w:tcPr>
            <w:tcW w:w="9631" w:type="dxa"/>
          </w:tcPr>
          <w:p w14:paraId="09078397" w14:textId="77777777" w:rsidR="008575EE" w:rsidRPr="00BD50CF" w:rsidRDefault="008575EE" w:rsidP="00F71967">
            <w:pPr>
              <w:snapToGrid w:val="0"/>
              <w:spacing w:beforeLines="50" w:before="120" w:after="0"/>
              <w:rPr>
                <w:b/>
                <w:bCs/>
              </w:rPr>
            </w:pPr>
            <w:r w:rsidRPr="00BD50CF">
              <w:rPr>
                <w:b/>
                <w:bCs/>
              </w:rPr>
              <w:t xml:space="preserve">Issue 1: </w:t>
            </w:r>
            <w:r w:rsidRPr="00D92D8F">
              <w:rPr>
                <w:b/>
                <w:bCs/>
              </w:rPr>
              <w:t xml:space="preserve">Switching </w:t>
            </w:r>
            <w:r>
              <w:rPr>
                <w:b/>
                <w:bCs/>
              </w:rPr>
              <w:t>period</w:t>
            </w:r>
            <w:r w:rsidRPr="00D92D8F">
              <w:rPr>
                <w:b/>
                <w:bCs/>
              </w:rPr>
              <w:t xml:space="preserve"> capability</w:t>
            </w:r>
          </w:p>
          <w:p w14:paraId="004FF048" w14:textId="77777777" w:rsidR="008575EE" w:rsidRPr="00BD50CF" w:rsidRDefault="008575EE" w:rsidP="00F71967">
            <w:pPr>
              <w:pStyle w:val="B10"/>
              <w:snapToGrid w:val="0"/>
              <w:spacing w:after="0"/>
            </w:pPr>
            <w:r w:rsidRPr="00BD50CF">
              <w:t>-</w:t>
            </w:r>
            <w:r w:rsidRPr="00BD50CF">
              <w:tab/>
            </w:r>
            <w:r w:rsidRPr="00D92D8F">
              <w:t xml:space="preserve">The switching </w:t>
            </w:r>
            <w:r>
              <w:t>period</w:t>
            </w:r>
            <w:r w:rsidRPr="00D92D8F">
              <w:t xml:space="preserve"> capability can be defined per band pair per band combination.</w:t>
            </w:r>
          </w:p>
          <w:p w14:paraId="40E46066" w14:textId="77777777" w:rsidR="008575EE" w:rsidRPr="00BD50CF" w:rsidRDefault="008575EE" w:rsidP="00F71967">
            <w:pPr>
              <w:snapToGrid w:val="0"/>
              <w:spacing w:beforeLines="50" w:before="120" w:after="0"/>
              <w:rPr>
                <w:b/>
                <w:bCs/>
              </w:rPr>
            </w:pPr>
            <w:r w:rsidRPr="00BD50CF">
              <w:rPr>
                <w:b/>
                <w:bCs/>
              </w:rPr>
              <w:t xml:space="preserve">Issue </w:t>
            </w:r>
            <w:r>
              <w:rPr>
                <w:b/>
                <w:bCs/>
              </w:rPr>
              <w:t>2</w:t>
            </w:r>
            <w:r w:rsidRPr="00BD50CF">
              <w:rPr>
                <w:b/>
                <w:bCs/>
              </w:rPr>
              <w:t>: Switching period location</w:t>
            </w:r>
          </w:p>
          <w:p w14:paraId="1452F803" w14:textId="77777777" w:rsidR="008575EE" w:rsidRPr="00BD50CF" w:rsidRDefault="008575EE" w:rsidP="00F71967">
            <w:pPr>
              <w:pStyle w:val="B10"/>
              <w:snapToGrid w:val="0"/>
              <w:spacing w:after="0"/>
            </w:pPr>
            <w:r w:rsidRPr="00BD50CF">
              <w:rPr>
                <w:lang w:val="en-US" w:eastAsia="zh-CN"/>
              </w:rPr>
              <w:t>-</w:t>
            </w:r>
            <w:r w:rsidRPr="00BD50CF">
              <w:rPr>
                <w:lang w:val="en-US" w:eastAsia="zh-CN"/>
              </w:rPr>
              <w:tab/>
            </w:r>
            <w:r>
              <w:rPr>
                <w:lang w:val="en-US" w:eastAsia="zh-CN"/>
              </w:rPr>
              <w:t>Await outcome of RAN1 design</w:t>
            </w:r>
          </w:p>
          <w:p w14:paraId="248D0707" w14:textId="77777777" w:rsidR="008575EE" w:rsidRPr="00BD50CF" w:rsidRDefault="008575EE" w:rsidP="00F71967">
            <w:pPr>
              <w:snapToGrid w:val="0"/>
              <w:spacing w:beforeLines="50" w:before="120" w:after="0"/>
              <w:rPr>
                <w:b/>
                <w:bCs/>
              </w:rPr>
            </w:pPr>
            <w:r w:rsidRPr="00BD50CF">
              <w:rPr>
                <w:b/>
                <w:bCs/>
              </w:rPr>
              <w:t xml:space="preserve">Issue </w:t>
            </w:r>
            <w:r>
              <w:rPr>
                <w:b/>
                <w:bCs/>
              </w:rPr>
              <w:t>3</w:t>
            </w:r>
            <w:r w:rsidRPr="00BD50CF">
              <w:rPr>
                <w:b/>
                <w:bCs/>
              </w:rPr>
              <w:t xml:space="preserve">: </w:t>
            </w:r>
            <w:r w:rsidRPr="00D92D8F">
              <w:rPr>
                <w:b/>
                <w:bCs/>
              </w:rPr>
              <w:t>Time mask</w:t>
            </w:r>
            <w:r>
              <w:rPr>
                <w:b/>
                <w:bCs/>
              </w:rPr>
              <w:t xml:space="preserve"> for switching</w:t>
            </w:r>
          </w:p>
          <w:p w14:paraId="51534B18" w14:textId="77777777" w:rsidR="008575EE" w:rsidRDefault="008575EE" w:rsidP="00F71967">
            <w:pPr>
              <w:pStyle w:val="B10"/>
              <w:snapToGrid w:val="0"/>
              <w:spacing w:after="0"/>
            </w:pPr>
            <w:r w:rsidRPr="00BD50CF">
              <w:t>-</w:t>
            </w:r>
            <w:r w:rsidRPr="00BD50CF">
              <w:tab/>
            </w:r>
            <w:r>
              <w:t>Define the Tx on-off time mask requirements</w:t>
            </w:r>
          </w:p>
          <w:p w14:paraId="0374B05D" w14:textId="77777777" w:rsidR="008575EE" w:rsidRDefault="008575EE" w:rsidP="00F71967">
            <w:pPr>
              <w:pStyle w:val="B10"/>
              <w:snapToGrid w:val="0"/>
              <w:spacing w:after="0"/>
            </w:pPr>
            <w:r>
              <w:t>-</w:t>
            </w:r>
            <w:r>
              <w:tab/>
              <w:t>FFS on how to define the Rx switching requirements to reflect where the switching period occurs</w:t>
            </w:r>
          </w:p>
          <w:p w14:paraId="7DFC158D" w14:textId="1378DF65" w:rsidR="00100B24" w:rsidRDefault="008575EE" w:rsidP="00100B24">
            <w:pPr>
              <w:pStyle w:val="B10"/>
              <w:snapToGrid w:val="0"/>
              <w:spacing w:after="0"/>
            </w:pPr>
            <w:r>
              <w:t>-</w:t>
            </w:r>
            <w:r>
              <w:tab/>
            </w:r>
            <w:r w:rsidRPr="00D92D8F">
              <w:t>RAN4 has understanding that RAN1 will take switching period and timing advance into account for RAN1 scheduling pattern for low band CA via switching</w:t>
            </w:r>
          </w:p>
          <w:p w14:paraId="4AD3BF47" w14:textId="77777777" w:rsidR="00100B24" w:rsidRPr="00BD50CF" w:rsidRDefault="00100B24" w:rsidP="00100B24">
            <w:pPr>
              <w:snapToGrid w:val="0"/>
              <w:spacing w:beforeLines="50" w:before="120" w:after="0"/>
              <w:rPr>
                <w:b/>
                <w:bCs/>
              </w:rPr>
            </w:pPr>
            <w:r w:rsidRPr="00BD50CF">
              <w:rPr>
                <w:b/>
                <w:bCs/>
              </w:rPr>
              <w:t xml:space="preserve">Issue </w:t>
            </w:r>
            <w:r>
              <w:rPr>
                <w:b/>
                <w:bCs/>
              </w:rPr>
              <w:t>4</w:t>
            </w:r>
            <w:r w:rsidRPr="00BD50CF">
              <w:rPr>
                <w:b/>
                <w:bCs/>
              </w:rPr>
              <w:t xml:space="preserve">: </w:t>
            </w:r>
            <w:r w:rsidRPr="00903AC1">
              <w:rPr>
                <w:b/>
                <w:bCs/>
              </w:rPr>
              <w:t xml:space="preserve">Considerations related to </w:t>
            </w:r>
            <w:r>
              <w:rPr>
                <w:b/>
                <w:bCs/>
              </w:rPr>
              <w:t>the Tx on-off time mask</w:t>
            </w:r>
          </w:p>
          <w:p w14:paraId="385DE6C7" w14:textId="77777777" w:rsidR="00100B24" w:rsidRDefault="00100B24" w:rsidP="00100B24">
            <w:pPr>
              <w:pStyle w:val="B10"/>
              <w:snapToGrid w:val="0"/>
              <w:spacing w:after="0"/>
            </w:pPr>
            <w:r w:rsidRPr="00BD50CF">
              <w:t>-</w:t>
            </w:r>
            <w:r w:rsidRPr="00BD50CF">
              <w:tab/>
            </w:r>
            <w:r>
              <w:t xml:space="preserve">Option 1: </w:t>
            </w:r>
            <w:r w:rsidRPr="00903AC1">
              <w:t>Specify transmit on/off time mask for FDD UL carrier/</w:t>
            </w:r>
            <w:proofErr w:type="spellStart"/>
            <w:r w:rsidRPr="00903AC1">
              <w:t>Pcell</w:t>
            </w:r>
            <w:proofErr w:type="spellEnd"/>
            <w:r w:rsidRPr="00903AC1">
              <w:t xml:space="preserve"> for switching between LB(FDD)-LB(SDL)</w:t>
            </w:r>
          </w:p>
          <w:p w14:paraId="056B2DEC" w14:textId="77777777" w:rsidR="00100B24" w:rsidRDefault="00100B24" w:rsidP="00100B24">
            <w:pPr>
              <w:pStyle w:val="B10"/>
              <w:snapToGrid w:val="0"/>
              <w:spacing w:after="0"/>
            </w:pPr>
            <w:r>
              <w:t>-</w:t>
            </w:r>
            <w:r>
              <w:tab/>
              <w:t>Option 2: Specify on-&gt;off time mask for switching from FDD to SDL carrier and specify off-&gt;on time mask for switching from SDL to FDD carrier</w:t>
            </w:r>
          </w:p>
          <w:p w14:paraId="35F25ECE" w14:textId="501F455D" w:rsidR="00100B24" w:rsidRPr="008575EE" w:rsidRDefault="00100B24" w:rsidP="00100B24">
            <w:pPr>
              <w:pStyle w:val="B10"/>
              <w:snapToGrid w:val="0"/>
              <w:spacing w:afterLines="50" w:after="120"/>
            </w:pPr>
            <w:r>
              <w:t>-</w:t>
            </w:r>
            <w:r>
              <w:tab/>
              <w:t>Other options are not precluded</w:t>
            </w:r>
          </w:p>
        </w:tc>
      </w:tr>
    </w:tbl>
    <w:p w14:paraId="41EF1A21" w14:textId="2D5BAE29" w:rsidR="00713868" w:rsidRDefault="00713868" w:rsidP="00140EC0">
      <w:pPr>
        <w:spacing w:beforeLines="100" w:before="240" w:afterLines="50" w:after="120"/>
        <w:rPr>
          <w:lang w:val="en-US"/>
        </w:rPr>
      </w:pPr>
      <w:r>
        <w:rPr>
          <w:rFonts w:hint="eastAsia"/>
          <w:lang w:val="en-US"/>
        </w:rPr>
        <w:t>I</w:t>
      </w:r>
      <w:r>
        <w:rPr>
          <w:lang w:val="en-US"/>
        </w:rPr>
        <w:t>n RAN</w:t>
      </w:r>
      <w:r w:rsidR="008575EE">
        <w:rPr>
          <w:lang w:val="en-US"/>
        </w:rPr>
        <w:t>1 April</w:t>
      </w:r>
      <w:r>
        <w:rPr>
          <w:lang w:val="en-US"/>
        </w:rPr>
        <w:t xml:space="preserve"> meeting, </w:t>
      </w:r>
      <w:r w:rsidR="008575EE">
        <w:rPr>
          <w:lang w:val="en-US"/>
        </w:rPr>
        <w:t>the conclusion for issue 2 Switching period location was concluded</w:t>
      </w:r>
      <w:r w:rsidR="000404E1">
        <w:rPr>
          <w:lang w:val="en-US"/>
        </w:rPr>
        <w:t>.</w:t>
      </w:r>
    </w:p>
    <w:tbl>
      <w:tblPr>
        <w:tblStyle w:val="aff"/>
        <w:tblW w:w="0" w:type="auto"/>
        <w:tblLook w:val="04A0" w:firstRow="1" w:lastRow="0" w:firstColumn="1" w:lastColumn="0" w:noHBand="0" w:noVBand="1"/>
      </w:tblPr>
      <w:tblGrid>
        <w:gridCol w:w="9629"/>
      </w:tblGrid>
      <w:tr w:rsidR="0066106C" w14:paraId="461EE110" w14:textId="77777777" w:rsidTr="0066106C">
        <w:tc>
          <w:tcPr>
            <w:tcW w:w="9629" w:type="dxa"/>
          </w:tcPr>
          <w:p w14:paraId="415F6F5F" w14:textId="366E9E96" w:rsidR="008575EE" w:rsidRPr="0086074B" w:rsidRDefault="008575EE" w:rsidP="00F71967">
            <w:pPr>
              <w:snapToGrid w:val="0"/>
              <w:spacing w:beforeLines="50" w:before="120" w:after="0"/>
              <w:rPr>
                <w:rFonts w:eastAsia="等线"/>
                <w:highlight w:val="green"/>
              </w:rPr>
            </w:pPr>
            <w:r w:rsidRPr="0086074B">
              <w:rPr>
                <w:rFonts w:eastAsia="等线" w:hint="eastAsia"/>
                <w:highlight w:val="green"/>
              </w:rPr>
              <w:t>Agreement</w:t>
            </w:r>
          </w:p>
          <w:p w14:paraId="05405653" w14:textId="77777777" w:rsidR="008575EE" w:rsidRPr="0086074B" w:rsidRDefault="008575EE" w:rsidP="00F71967">
            <w:pPr>
              <w:snapToGrid w:val="0"/>
              <w:spacing w:after="0"/>
              <w:contextualSpacing/>
              <w:rPr>
                <w:color w:val="000000"/>
              </w:rPr>
            </w:pPr>
            <w:r w:rsidRPr="0086074B">
              <w:rPr>
                <w:color w:val="000000"/>
              </w:rPr>
              <w:t xml:space="preserve">For RRC configuration of semi-static switching pattern in Rel-19 low NR band carrier aggregation via switching, regarding the location of the switching gap, </w:t>
            </w:r>
          </w:p>
          <w:p w14:paraId="103C5438" w14:textId="77777777" w:rsidR="008575EE" w:rsidRPr="0086074B" w:rsidRDefault="008575EE" w:rsidP="00F71967">
            <w:pPr>
              <w:pStyle w:val="af6"/>
              <w:numPr>
                <w:ilvl w:val="0"/>
                <w:numId w:val="46"/>
              </w:numPr>
              <w:overflowPunct/>
              <w:autoSpaceDE/>
              <w:autoSpaceDN/>
              <w:adjustRightInd/>
              <w:snapToGrid w:val="0"/>
              <w:spacing w:after="0"/>
              <w:contextualSpacing/>
              <w:jc w:val="both"/>
              <w:textAlignment w:val="auto"/>
              <w:rPr>
                <w:color w:val="000000"/>
                <w:lang w:val="en-US" w:eastAsia="zh-CN"/>
              </w:rPr>
            </w:pPr>
            <w:r w:rsidRPr="0086074B">
              <w:rPr>
                <w:color w:val="000000"/>
                <w:lang w:val="en-US" w:eastAsia="zh-CN"/>
              </w:rPr>
              <w:t>For switching from SDL carrier to FDD carrier, the switching gap is always assumed at the “switch from” carrier, i.e., SDL carrier.</w:t>
            </w:r>
          </w:p>
          <w:p w14:paraId="7577A64E" w14:textId="60121843" w:rsidR="008575EE" w:rsidRPr="0086074B" w:rsidRDefault="008575EE" w:rsidP="00F71967">
            <w:pPr>
              <w:pStyle w:val="af6"/>
              <w:numPr>
                <w:ilvl w:val="0"/>
                <w:numId w:val="46"/>
              </w:numPr>
              <w:overflowPunct/>
              <w:autoSpaceDE/>
              <w:autoSpaceDN/>
              <w:adjustRightInd/>
              <w:snapToGrid w:val="0"/>
              <w:spacing w:after="0"/>
              <w:contextualSpacing/>
              <w:jc w:val="both"/>
              <w:textAlignment w:val="auto"/>
              <w:rPr>
                <w:color w:val="000000"/>
                <w:lang w:val="en-US" w:eastAsia="zh-CN"/>
              </w:rPr>
            </w:pPr>
            <w:r w:rsidRPr="0086074B">
              <w:rPr>
                <w:color w:val="000000"/>
              </w:rPr>
              <w:t>For switching from FDD carrier to SDL carrier, down</w:t>
            </w:r>
            <w:r w:rsidR="003E268B">
              <w:rPr>
                <w:color w:val="000000"/>
              </w:rPr>
              <w:t>-</w:t>
            </w:r>
            <w:r w:rsidRPr="0086074B">
              <w:rPr>
                <w:color w:val="000000"/>
              </w:rPr>
              <w:t xml:space="preserve">select one of the following solutions </w:t>
            </w:r>
          </w:p>
          <w:p w14:paraId="0A3406DC" w14:textId="77777777" w:rsidR="008575EE" w:rsidRPr="0086074B" w:rsidRDefault="008575EE" w:rsidP="00F71967">
            <w:pPr>
              <w:pStyle w:val="af6"/>
              <w:numPr>
                <w:ilvl w:val="1"/>
                <w:numId w:val="46"/>
              </w:numPr>
              <w:overflowPunct/>
              <w:autoSpaceDE/>
              <w:autoSpaceDN/>
              <w:adjustRightInd/>
              <w:snapToGrid w:val="0"/>
              <w:spacing w:after="0"/>
              <w:contextualSpacing/>
              <w:jc w:val="both"/>
              <w:textAlignment w:val="auto"/>
              <w:rPr>
                <w:color w:val="000000"/>
                <w:lang w:val="en-US" w:eastAsia="zh-CN"/>
              </w:rPr>
            </w:pPr>
            <w:r w:rsidRPr="0086074B">
              <w:rPr>
                <w:color w:val="000000"/>
              </w:rPr>
              <w:t>Alt 1: Switching gap is always assumed at the “switch from” carrier, i.e., FDD carrier</w:t>
            </w:r>
          </w:p>
          <w:p w14:paraId="60C7F29C" w14:textId="77777777" w:rsidR="008A66B3" w:rsidRPr="008A66B3" w:rsidRDefault="008575EE" w:rsidP="00F71967">
            <w:pPr>
              <w:pStyle w:val="af6"/>
              <w:numPr>
                <w:ilvl w:val="1"/>
                <w:numId w:val="46"/>
              </w:numPr>
              <w:overflowPunct/>
              <w:autoSpaceDE/>
              <w:autoSpaceDN/>
              <w:adjustRightInd/>
              <w:snapToGrid w:val="0"/>
              <w:spacing w:after="0"/>
              <w:contextualSpacing/>
              <w:jc w:val="both"/>
              <w:textAlignment w:val="auto"/>
              <w:rPr>
                <w:color w:val="000000"/>
                <w:lang w:val="en-US" w:eastAsia="zh-CN"/>
              </w:rPr>
            </w:pPr>
            <w:r w:rsidRPr="0086074B">
              <w:rPr>
                <w:color w:val="000000"/>
              </w:rPr>
              <w:t>Alt 2: NW configures whether the switching gap is at the FDD carrier or SDL carrier</w:t>
            </w:r>
          </w:p>
          <w:p w14:paraId="3A255AF3" w14:textId="4EF9D0B1" w:rsidR="0066106C" w:rsidRPr="008A66B3" w:rsidRDefault="008575EE" w:rsidP="00F71967">
            <w:pPr>
              <w:pStyle w:val="af6"/>
              <w:numPr>
                <w:ilvl w:val="1"/>
                <w:numId w:val="46"/>
              </w:numPr>
              <w:overflowPunct/>
              <w:autoSpaceDE/>
              <w:autoSpaceDN/>
              <w:adjustRightInd/>
              <w:snapToGrid w:val="0"/>
              <w:spacing w:afterLines="50" w:after="120"/>
              <w:ind w:left="1434" w:hanging="357"/>
              <w:contextualSpacing/>
              <w:jc w:val="both"/>
              <w:textAlignment w:val="auto"/>
              <w:rPr>
                <w:color w:val="000000"/>
                <w:lang w:val="en-US" w:eastAsia="zh-CN"/>
              </w:rPr>
            </w:pPr>
            <w:r w:rsidRPr="008A66B3">
              <w:rPr>
                <w:color w:val="000000"/>
              </w:rPr>
              <w:t>Alt 3: Switching gap is always assumed at the SDL carrier</w:t>
            </w:r>
          </w:p>
        </w:tc>
      </w:tr>
    </w:tbl>
    <w:p w14:paraId="472091D9" w14:textId="21FD1E98" w:rsidR="00CA2592" w:rsidRDefault="00C36042" w:rsidP="00C70A92">
      <w:pPr>
        <w:spacing w:beforeLines="50" w:before="120" w:afterLines="50" w:after="120"/>
        <w:rPr>
          <w:lang w:val="en-US"/>
        </w:rPr>
      </w:pPr>
      <w:r>
        <w:rPr>
          <w:rFonts w:hint="eastAsia"/>
          <w:lang w:val="en-US"/>
        </w:rPr>
        <w:t>T</w:t>
      </w:r>
      <w:r>
        <w:rPr>
          <w:lang w:val="en-US"/>
        </w:rPr>
        <w:t>his paper</w:t>
      </w:r>
      <w:r w:rsidR="008E2940">
        <w:rPr>
          <w:lang w:val="en-US"/>
        </w:rPr>
        <w:t xml:space="preserve"> is to provide </w:t>
      </w:r>
      <w:r w:rsidR="000404E1">
        <w:rPr>
          <w:lang w:val="en-US"/>
        </w:rPr>
        <w:t>further</w:t>
      </w:r>
      <w:r w:rsidR="008E2940">
        <w:rPr>
          <w:lang w:val="en-US"/>
        </w:rPr>
        <w:t xml:space="preserve"> thinking concerning the</w:t>
      </w:r>
      <w:r w:rsidR="000A0E84">
        <w:rPr>
          <w:lang w:val="en-US"/>
        </w:rPr>
        <w:t xml:space="preserve"> </w:t>
      </w:r>
      <w:r w:rsidR="00F71967">
        <w:rPr>
          <w:lang w:val="en-US"/>
        </w:rPr>
        <w:t xml:space="preserve">time mask and related capability for </w:t>
      </w:r>
      <w:r w:rsidR="000A0E84">
        <w:rPr>
          <w:lang w:val="en-US"/>
        </w:rPr>
        <w:t>LB-LB switching</w:t>
      </w:r>
      <w:r w:rsidR="004A72AC">
        <w:rPr>
          <w:lang w:val="en-US"/>
        </w:rPr>
        <w:t xml:space="preserve"> in Rel-19</w:t>
      </w:r>
      <w:r>
        <w:rPr>
          <w:lang w:val="en-US"/>
        </w:rPr>
        <w:t>.</w:t>
      </w:r>
    </w:p>
    <w:p w14:paraId="20BDBA53" w14:textId="7B29EB29" w:rsidR="00615D17" w:rsidRPr="00615D17" w:rsidRDefault="005742A1" w:rsidP="00C70A92">
      <w:pPr>
        <w:pStyle w:val="1"/>
        <w:tabs>
          <w:tab w:val="num" w:pos="709"/>
        </w:tabs>
        <w:spacing w:after="240"/>
        <w:rPr>
          <w:rFonts w:eastAsia="宋体" w:cs="Arial"/>
          <w:lang w:eastAsia="zh-CN"/>
        </w:rPr>
      </w:pPr>
      <w:bookmarkStart w:id="3" w:name="OLE_LINK5"/>
      <w:r>
        <w:rPr>
          <w:rFonts w:eastAsia="宋体" w:cs="Arial"/>
          <w:lang w:eastAsia="zh-CN"/>
        </w:rPr>
        <w:t>Time mask</w:t>
      </w:r>
      <w:r w:rsidR="001525A6">
        <w:rPr>
          <w:rFonts w:eastAsia="宋体" w:cs="Arial"/>
          <w:lang w:eastAsia="zh-CN"/>
        </w:rPr>
        <w:t xml:space="preserve"> for LB-LB switching</w:t>
      </w:r>
    </w:p>
    <w:p w14:paraId="32D28B26" w14:textId="6F38C430" w:rsidR="003E6AE8" w:rsidRDefault="00615D17" w:rsidP="00D2133C">
      <w:pPr>
        <w:jc w:val="both"/>
      </w:pPr>
      <w:r>
        <w:rPr>
          <w:rFonts w:hint="eastAsia"/>
        </w:rPr>
        <w:t>I</w:t>
      </w:r>
      <w:r>
        <w:t xml:space="preserve">t was agreed in the last RAN1 meeting on switching period for </w:t>
      </w:r>
      <w:r w:rsidR="00710196">
        <w:t xml:space="preserve">switching from SDL to FDD. </w:t>
      </w:r>
      <w:r w:rsidR="005C50E3">
        <w:t>RAN4 has agreed to specify Tx on-off time mask requirements. However, SDL as DL carrier is borrowed to demonstrate switching period location.</w:t>
      </w:r>
      <w:r w:rsidR="005C50E3" w:rsidRPr="00D2133C">
        <w:t xml:space="preserve"> </w:t>
      </w:r>
      <w:r w:rsidR="005C50E3">
        <w:t xml:space="preserve">Timing advance between FDD carrier and SDL carrier is taken into consideration. </w:t>
      </w:r>
      <w:r w:rsidR="00710196">
        <w:t xml:space="preserve">In the semi-static </w:t>
      </w:r>
      <w:r w:rsidR="00710196">
        <w:rPr>
          <w:rFonts w:hint="eastAsia"/>
        </w:rPr>
        <w:t>switching</w:t>
      </w:r>
      <w:r w:rsidR="00710196">
        <w:t xml:space="preserve"> pattern, </w:t>
      </w:r>
      <w:r w:rsidR="005C50E3">
        <w:t>the DL transmissions configured on the SDL avoid the OFDM symbols occupied by switching period</w:t>
      </w:r>
      <w:r w:rsidR="00710196">
        <w:t>.</w:t>
      </w:r>
      <w:r w:rsidR="006232D5">
        <w:t xml:space="preserve"> </w:t>
      </w:r>
      <w:r w:rsidR="00F24BD9">
        <w:t xml:space="preserve">Switching period does not impact the start symbol(s) of the transmission on FDD band (switch-to), illustrated in </w:t>
      </w:r>
      <w:r w:rsidR="00F24BD9">
        <w:fldChar w:fldCharType="begin"/>
      </w:r>
      <w:r w:rsidR="00F24BD9">
        <w:instrText xml:space="preserve"> REF _Ref196914928 \h  \* MERGEFORMAT </w:instrText>
      </w:r>
      <w:r w:rsidR="00F24BD9">
        <w:fldChar w:fldCharType="separate"/>
      </w:r>
      <w:r w:rsidR="00812DE0">
        <w:t xml:space="preserve">Figure </w:t>
      </w:r>
      <w:r w:rsidR="00812DE0">
        <w:rPr>
          <w:noProof/>
        </w:rPr>
        <w:t>1</w:t>
      </w:r>
      <w:r w:rsidR="00F24BD9">
        <w:fldChar w:fldCharType="end"/>
      </w:r>
      <w:r w:rsidR="00F24BD9">
        <w:t>, and t</w:t>
      </w:r>
      <w:r w:rsidR="00017246">
        <w:t>he vacant part</w:t>
      </w:r>
      <w:r w:rsidR="00F24BD9">
        <w:t>s</w:t>
      </w:r>
      <w:r w:rsidR="00017246">
        <w:t xml:space="preserve"> in the carrier of the following figures </w:t>
      </w:r>
      <w:r w:rsidR="00F24BD9">
        <w:t>are</w:t>
      </w:r>
      <w:r w:rsidR="00017246">
        <w:t xml:space="preserve"> the time domain resource without transmission configuration.</w:t>
      </w:r>
    </w:p>
    <w:p w14:paraId="2AB1FFBB" w14:textId="320AB783" w:rsidR="00615D17" w:rsidRDefault="006232D5" w:rsidP="00D2133C">
      <w:pPr>
        <w:jc w:val="both"/>
      </w:pPr>
      <w:r>
        <w:lastRenderedPageBreak/>
        <w:t xml:space="preserve">For switching from FDD to SDL, Alt.1 and Alt. 3 are shown in the following </w:t>
      </w:r>
      <w:r w:rsidR="00FD2818">
        <w:fldChar w:fldCharType="begin"/>
      </w:r>
      <w:r w:rsidR="00FD2818">
        <w:instrText xml:space="preserve"> REF _Ref196914934 \h </w:instrText>
      </w:r>
      <w:r w:rsidR="00D2133C">
        <w:instrText xml:space="preserve"> \* MERGEFORMAT </w:instrText>
      </w:r>
      <w:r w:rsidR="00FD2818">
        <w:fldChar w:fldCharType="separate"/>
      </w:r>
      <w:r w:rsidR="00812DE0">
        <w:t xml:space="preserve">Figure </w:t>
      </w:r>
      <w:r w:rsidR="00812DE0">
        <w:rPr>
          <w:noProof/>
        </w:rPr>
        <w:t>2</w:t>
      </w:r>
      <w:r w:rsidR="00FD2818">
        <w:fldChar w:fldCharType="end"/>
      </w:r>
      <w:r w:rsidR="00FD2818">
        <w:t xml:space="preserve"> </w:t>
      </w:r>
      <w:r>
        <w:t xml:space="preserve">and </w:t>
      </w:r>
      <w:r w:rsidR="00466ECC">
        <w:fldChar w:fldCharType="begin"/>
      </w:r>
      <w:r w:rsidR="00466ECC">
        <w:instrText xml:space="preserve"> REF _Ref196916501 \h </w:instrText>
      </w:r>
      <w:r w:rsidR="00D2133C">
        <w:instrText xml:space="preserve"> \* MERGEFORMAT </w:instrText>
      </w:r>
      <w:r w:rsidR="00466ECC">
        <w:fldChar w:fldCharType="separate"/>
      </w:r>
      <w:r w:rsidR="00812DE0">
        <w:t xml:space="preserve">Figure </w:t>
      </w:r>
      <w:r w:rsidR="00812DE0">
        <w:rPr>
          <w:noProof/>
        </w:rPr>
        <w:t>3</w:t>
      </w:r>
      <w:r w:rsidR="00466ECC">
        <w:fldChar w:fldCharType="end"/>
      </w:r>
      <w:r w:rsidR="00466ECC">
        <w:t xml:space="preserve">, </w:t>
      </w:r>
      <w:r>
        <w:t>respectively.</w:t>
      </w:r>
      <w:r w:rsidR="00D2133C">
        <w:t xml:space="preserve"> </w:t>
      </w:r>
      <w:r w:rsidR="00060078">
        <w:t xml:space="preserve">Whether RAN4 captures the examples in </w:t>
      </w:r>
      <w:r w:rsidR="00060078">
        <w:fldChar w:fldCharType="begin"/>
      </w:r>
      <w:r w:rsidR="00060078">
        <w:instrText xml:space="preserve"> REF _Ref196914934 \h </w:instrText>
      </w:r>
      <w:r w:rsidR="00060078">
        <w:fldChar w:fldCharType="separate"/>
      </w:r>
      <w:r w:rsidR="00812DE0">
        <w:t xml:space="preserve">Figure </w:t>
      </w:r>
      <w:r w:rsidR="00812DE0">
        <w:rPr>
          <w:noProof/>
        </w:rPr>
        <w:t>2</w:t>
      </w:r>
      <w:r w:rsidR="00060078">
        <w:fldChar w:fldCharType="end"/>
      </w:r>
      <w:r w:rsidR="00060078">
        <w:t xml:space="preserve"> and/or </w:t>
      </w:r>
      <w:r w:rsidR="00060078">
        <w:fldChar w:fldCharType="begin"/>
      </w:r>
      <w:r w:rsidR="00060078">
        <w:instrText xml:space="preserve"> REF _Ref196916501 \h </w:instrText>
      </w:r>
      <w:r w:rsidR="00060078">
        <w:fldChar w:fldCharType="separate"/>
      </w:r>
      <w:r w:rsidR="00812DE0">
        <w:t xml:space="preserve">Figure </w:t>
      </w:r>
      <w:r w:rsidR="00812DE0">
        <w:rPr>
          <w:noProof/>
        </w:rPr>
        <w:t>3</w:t>
      </w:r>
      <w:r w:rsidR="00060078">
        <w:fldChar w:fldCharType="end"/>
      </w:r>
      <w:r w:rsidR="00060078">
        <w:t xml:space="preserve"> is up to RAN1’s further discussion.</w:t>
      </w:r>
    </w:p>
    <w:p w14:paraId="7CB79A87" w14:textId="4B0B9809" w:rsidR="006232D5" w:rsidRDefault="0006093B" w:rsidP="003E6AE8">
      <w:pPr>
        <w:keepNext/>
        <w:snapToGrid w:val="0"/>
        <w:spacing w:after="0"/>
        <w:jc w:val="center"/>
      </w:pPr>
      <w:r>
        <w:rPr>
          <w:noProof/>
        </w:rPr>
        <w:drawing>
          <wp:inline distT="0" distB="0" distL="0" distR="0" wp14:anchorId="614C7525" wp14:editId="4ADC08A6">
            <wp:extent cx="3016800" cy="1832400"/>
            <wp:effectExtent l="0" t="0" r="0" b="0"/>
            <wp:docPr id="14" name="图片 14" descr="C:\Users\h00428148\AppData\Local\Microsoft\Windows\INetCache\Content.MSO\251C600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h00428148\AppData\Local\Microsoft\Windows\INetCache\Content.MSO\251C6006.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16800" cy="1832400"/>
                    </a:xfrm>
                    <a:prstGeom prst="rect">
                      <a:avLst/>
                    </a:prstGeom>
                    <a:noFill/>
                    <a:ln>
                      <a:noFill/>
                    </a:ln>
                  </pic:spPr>
                </pic:pic>
              </a:graphicData>
            </a:graphic>
          </wp:inline>
        </w:drawing>
      </w:r>
      <w:r>
        <w:rPr>
          <w:noProof/>
        </w:rPr>
        <w:t xml:space="preserve"> </w:t>
      </w:r>
      <w:r w:rsidR="003E6AE8">
        <w:rPr>
          <w:noProof/>
        </w:rPr>
        <w:t xml:space="preserve"> </w:t>
      </w:r>
    </w:p>
    <w:p w14:paraId="5833F9A5" w14:textId="778012F7" w:rsidR="006232D5" w:rsidRDefault="006232D5" w:rsidP="002A42B3">
      <w:pPr>
        <w:pStyle w:val="ae"/>
        <w:jc w:val="center"/>
      </w:pPr>
      <w:bookmarkStart w:id="4" w:name="_Ref196914928"/>
      <w:r>
        <w:t xml:space="preserve">Figure </w:t>
      </w:r>
      <w:r>
        <w:fldChar w:fldCharType="begin"/>
      </w:r>
      <w:r>
        <w:instrText xml:space="preserve"> SEQ Figure \* ARABIC </w:instrText>
      </w:r>
      <w:r>
        <w:fldChar w:fldCharType="separate"/>
      </w:r>
      <w:r w:rsidR="00812DE0">
        <w:rPr>
          <w:noProof/>
        </w:rPr>
        <w:t>1</w:t>
      </w:r>
      <w:r>
        <w:fldChar w:fldCharType="end"/>
      </w:r>
      <w:bookmarkEnd w:id="4"/>
      <w:r>
        <w:t xml:space="preserve"> </w:t>
      </w:r>
      <w:r w:rsidR="00FD2818" w:rsidRPr="00FD2818">
        <w:t xml:space="preserve">Time mask for </w:t>
      </w:r>
      <w:r w:rsidR="00FD2818">
        <w:t xml:space="preserve">low band CA via </w:t>
      </w:r>
      <w:r w:rsidR="00FD2818" w:rsidRPr="00FD2818">
        <w:t xml:space="preserve">switching </w:t>
      </w:r>
      <w:r w:rsidR="00FD2818">
        <w:t>from SDL carrier to FDD carrier</w:t>
      </w:r>
      <w:r w:rsidR="00FD2818" w:rsidRPr="00FD2818">
        <w:t xml:space="preserve">, where the switching period is located in </w:t>
      </w:r>
      <w:r w:rsidR="00FD2818">
        <w:t>SDL carrier</w:t>
      </w:r>
    </w:p>
    <w:p w14:paraId="505C5FCE" w14:textId="72353379" w:rsidR="006232D5" w:rsidRDefault="00017246" w:rsidP="003E6AE8">
      <w:pPr>
        <w:keepNext/>
        <w:snapToGrid w:val="0"/>
        <w:spacing w:after="0"/>
        <w:jc w:val="center"/>
      </w:pPr>
      <w:r>
        <w:rPr>
          <w:noProof/>
        </w:rPr>
        <w:drawing>
          <wp:inline distT="0" distB="0" distL="0" distR="0" wp14:anchorId="642CFE0D" wp14:editId="7644B339">
            <wp:extent cx="3225600" cy="1785600"/>
            <wp:effectExtent l="0" t="0" r="0" b="5715"/>
            <wp:docPr id="15" name="图片 15" descr="C:\Users\h00428148\AppData\Local\Microsoft\Windows\INetCache\Content.MSO\3DA6F20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h00428148\AppData\Local\Microsoft\Windows\INetCache\Content.MSO\3DA6F204.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25600" cy="1785600"/>
                    </a:xfrm>
                    <a:prstGeom prst="rect">
                      <a:avLst/>
                    </a:prstGeom>
                    <a:noFill/>
                    <a:ln>
                      <a:noFill/>
                    </a:ln>
                  </pic:spPr>
                </pic:pic>
              </a:graphicData>
            </a:graphic>
          </wp:inline>
        </w:drawing>
      </w:r>
    </w:p>
    <w:p w14:paraId="699233BA" w14:textId="3A4A9E56" w:rsidR="00710196" w:rsidRDefault="006232D5" w:rsidP="002A42B3">
      <w:pPr>
        <w:pStyle w:val="ae"/>
        <w:jc w:val="center"/>
      </w:pPr>
      <w:bookmarkStart w:id="5" w:name="_Ref196914934"/>
      <w:r>
        <w:t xml:space="preserve">Figure </w:t>
      </w:r>
      <w:r>
        <w:fldChar w:fldCharType="begin"/>
      </w:r>
      <w:r>
        <w:instrText xml:space="preserve"> SEQ Figure \* ARABIC </w:instrText>
      </w:r>
      <w:r>
        <w:fldChar w:fldCharType="separate"/>
      </w:r>
      <w:r w:rsidR="00812DE0">
        <w:rPr>
          <w:noProof/>
        </w:rPr>
        <w:t>2</w:t>
      </w:r>
      <w:r>
        <w:fldChar w:fldCharType="end"/>
      </w:r>
      <w:bookmarkEnd w:id="5"/>
      <w:r w:rsidR="00FD2818">
        <w:t xml:space="preserve"> </w:t>
      </w:r>
      <w:r w:rsidR="00FD2818" w:rsidRPr="00FD2818">
        <w:t xml:space="preserve">Time mask for </w:t>
      </w:r>
      <w:r w:rsidR="00FD2818">
        <w:t xml:space="preserve">low band CA via </w:t>
      </w:r>
      <w:r w:rsidR="00FD2818" w:rsidRPr="00FD2818">
        <w:t xml:space="preserve">switching </w:t>
      </w:r>
      <w:r w:rsidR="00FD2818">
        <w:t xml:space="preserve">from </w:t>
      </w:r>
      <w:r w:rsidR="002A42B3">
        <w:t>FDD</w:t>
      </w:r>
      <w:r w:rsidR="00FD2818">
        <w:t xml:space="preserve"> carrier to </w:t>
      </w:r>
      <w:r w:rsidR="002A42B3">
        <w:t>SDL</w:t>
      </w:r>
      <w:r w:rsidR="00FD2818">
        <w:t xml:space="preserve"> carrier</w:t>
      </w:r>
      <w:r w:rsidR="00FD2818" w:rsidRPr="00FD2818">
        <w:t xml:space="preserve">, where the switching period is located in </w:t>
      </w:r>
      <w:r w:rsidR="002A42B3">
        <w:t>FDD</w:t>
      </w:r>
      <w:r w:rsidR="00FD2818">
        <w:t xml:space="preserve"> carrier</w:t>
      </w:r>
    </w:p>
    <w:p w14:paraId="7C59C097" w14:textId="27D5A9B3" w:rsidR="00FD2818" w:rsidRDefault="006D1EFB" w:rsidP="003E6AE8">
      <w:pPr>
        <w:keepNext/>
        <w:snapToGrid w:val="0"/>
        <w:spacing w:after="0"/>
        <w:jc w:val="center"/>
      </w:pPr>
      <w:r>
        <w:rPr>
          <w:noProof/>
        </w:rPr>
        <w:drawing>
          <wp:inline distT="0" distB="0" distL="0" distR="0" wp14:anchorId="4B063DBA" wp14:editId="449C99A1">
            <wp:extent cx="3232800" cy="1785600"/>
            <wp:effectExtent l="0" t="0" r="5715" b="5715"/>
            <wp:docPr id="16" name="图片 16" descr="C:\Users\h00428148\AppData\Local\Microsoft\Windows\INetCache\Content.MSO\FF289AB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h00428148\AppData\Local\Microsoft\Windows\INetCache\Content.MSO\FF289AB2.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2800" cy="1785600"/>
                    </a:xfrm>
                    <a:prstGeom prst="rect">
                      <a:avLst/>
                    </a:prstGeom>
                    <a:noFill/>
                    <a:ln>
                      <a:noFill/>
                    </a:ln>
                  </pic:spPr>
                </pic:pic>
              </a:graphicData>
            </a:graphic>
          </wp:inline>
        </w:drawing>
      </w:r>
    </w:p>
    <w:p w14:paraId="66419D22" w14:textId="51C1C163" w:rsidR="00710196" w:rsidRDefault="00FD2818" w:rsidP="002A42B3">
      <w:pPr>
        <w:pStyle w:val="ae"/>
        <w:jc w:val="center"/>
      </w:pPr>
      <w:bookmarkStart w:id="6" w:name="_Ref196916501"/>
      <w:r>
        <w:t xml:space="preserve">Figure </w:t>
      </w:r>
      <w:r>
        <w:fldChar w:fldCharType="begin"/>
      </w:r>
      <w:r>
        <w:instrText xml:space="preserve"> SEQ Figure \* ARABIC </w:instrText>
      </w:r>
      <w:r>
        <w:fldChar w:fldCharType="separate"/>
      </w:r>
      <w:r w:rsidR="00812DE0">
        <w:rPr>
          <w:noProof/>
        </w:rPr>
        <w:t>3</w:t>
      </w:r>
      <w:r>
        <w:fldChar w:fldCharType="end"/>
      </w:r>
      <w:bookmarkEnd w:id="6"/>
      <w:r w:rsidR="002A42B3">
        <w:t xml:space="preserve"> </w:t>
      </w:r>
      <w:r w:rsidR="002A42B3" w:rsidRPr="00FD2818">
        <w:t xml:space="preserve">Time mask for </w:t>
      </w:r>
      <w:r w:rsidR="002A42B3">
        <w:t xml:space="preserve">low band CA via </w:t>
      </w:r>
      <w:r w:rsidR="002A42B3" w:rsidRPr="00FD2818">
        <w:t xml:space="preserve">switching </w:t>
      </w:r>
      <w:r w:rsidR="002A42B3">
        <w:t>from FDD carrier to SDL carrier</w:t>
      </w:r>
      <w:r w:rsidR="002A42B3" w:rsidRPr="00FD2818">
        <w:t xml:space="preserve">, where the switching period is located in </w:t>
      </w:r>
      <w:r w:rsidR="002A42B3">
        <w:t>SDL carrier</w:t>
      </w:r>
    </w:p>
    <w:p w14:paraId="5C96AC7B" w14:textId="36F47CB4" w:rsidR="00C70A92" w:rsidRPr="00702B8C" w:rsidRDefault="00513F17" w:rsidP="00060078">
      <w:pPr>
        <w:pStyle w:val="ae"/>
        <w:snapToGrid w:val="0"/>
        <w:spacing w:beforeLines="100" w:before="240" w:after="0"/>
        <w:rPr>
          <w:i/>
        </w:rPr>
      </w:pPr>
      <w:bookmarkStart w:id="7" w:name="_Ref197700020"/>
      <w:r w:rsidRPr="00702B8C">
        <w:rPr>
          <w:i/>
        </w:rPr>
        <w:t xml:space="preserve">Proposal </w:t>
      </w:r>
      <w:r w:rsidRPr="00702B8C">
        <w:rPr>
          <w:i/>
        </w:rPr>
        <w:fldChar w:fldCharType="begin"/>
      </w:r>
      <w:r w:rsidRPr="00702B8C">
        <w:rPr>
          <w:i/>
        </w:rPr>
        <w:instrText xml:space="preserve"> SEQ Proposal \* ARABIC </w:instrText>
      </w:r>
      <w:r w:rsidRPr="00702B8C">
        <w:rPr>
          <w:i/>
        </w:rPr>
        <w:fldChar w:fldCharType="separate"/>
      </w:r>
      <w:r w:rsidR="00812DE0">
        <w:rPr>
          <w:i/>
          <w:noProof/>
        </w:rPr>
        <w:t>1</w:t>
      </w:r>
      <w:r w:rsidRPr="00702B8C">
        <w:rPr>
          <w:i/>
        </w:rPr>
        <w:fldChar w:fldCharType="end"/>
      </w:r>
      <w:r w:rsidR="00702B8C" w:rsidRPr="00702B8C">
        <w:rPr>
          <w:i/>
        </w:rPr>
        <w:t>: The Tx on-off time mask</w:t>
      </w:r>
      <w:r w:rsidR="00702B8C">
        <w:rPr>
          <w:i/>
        </w:rPr>
        <w:t>s</w:t>
      </w:r>
      <w:r w:rsidR="00702B8C" w:rsidRPr="00702B8C">
        <w:rPr>
          <w:i/>
        </w:rPr>
        <w:t xml:space="preserve"> for LB-LB switching show:</w:t>
      </w:r>
      <w:bookmarkEnd w:id="7"/>
    </w:p>
    <w:p w14:paraId="508212CC" w14:textId="7DA88F8D" w:rsidR="00702B8C" w:rsidRPr="00702B8C" w:rsidRDefault="00702B8C" w:rsidP="00702B8C">
      <w:pPr>
        <w:pStyle w:val="afff0"/>
        <w:numPr>
          <w:ilvl w:val="0"/>
          <w:numId w:val="47"/>
        </w:numPr>
        <w:snapToGrid w:val="0"/>
        <w:ind w:firstLineChars="0"/>
        <w:rPr>
          <w:rFonts w:ascii="Times New Roman" w:hAnsi="Times New Roman"/>
          <w:b/>
          <w:i/>
          <w:sz w:val="20"/>
          <w:lang w:eastAsia="en-US"/>
        </w:rPr>
      </w:pPr>
      <w:r w:rsidRPr="00702B8C">
        <w:rPr>
          <w:rFonts w:ascii="Times New Roman" w:hAnsi="Times New Roman"/>
          <w:b/>
          <w:i/>
          <w:sz w:val="20"/>
          <w:lang w:eastAsia="en-US"/>
        </w:rPr>
        <w:t>The transmissions configured on the SDL/FDD avoid the OFDM symbols occupied by switching period in the semi-static switching pattern.</w:t>
      </w:r>
    </w:p>
    <w:p w14:paraId="3337D762" w14:textId="6C1A06B7" w:rsidR="00702B8C" w:rsidRPr="00702B8C" w:rsidRDefault="00702B8C" w:rsidP="00702B8C">
      <w:pPr>
        <w:pStyle w:val="afff0"/>
        <w:numPr>
          <w:ilvl w:val="0"/>
          <w:numId w:val="47"/>
        </w:numPr>
        <w:snapToGrid w:val="0"/>
        <w:spacing w:afterLines="50" w:after="120"/>
        <w:ind w:firstLineChars="0"/>
        <w:rPr>
          <w:rFonts w:ascii="Times New Roman" w:hAnsi="Times New Roman"/>
          <w:b/>
          <w:i/>
          <w:sz w:val="20"/>
          <w:lang w:eastAsia="en-US"/>
        </w:rPr>
      </w:pPr>
      <w:r w:rsidRPr="00702B8C">
        <w:rPr>
          <w:rFonts w:ascii="Times New Roman" w:hAnsi="Times New Roman"/>
          <w:b/>
          <w:i/>
          <w:sz w:val="20"/>
          <w:lang w:eastAsia="zh-CN"/>
        </w:rPr>
        <w:t>TA between FDD carrier and SDL carrier, if SDL is borrowed in the Tx time mask.</w:t>
      </w:r>
    </w:p>
    <w:p w14:paraId="6C410002" w14:textId="0A120790" w:rsidR="00702B8C" w:rsidRPr="00615D17" w:rsidRDefault="00F20DEB" w:rsidP="00702B8C">
      <w:pPr>
        <w:pStyle w:val="1"/>
        <w:tabs>
          <w:tab w:val="num" w:pos="709"/>
        </w:tabs>
        <w:spacing w:after="240"/>
        <w:rPr>
          <w:rFonts w:eastAsia="宋体" w:cs="Arial"/>
          <w:lang w:eastAsia="zh-CN"/>
        </w:rPr>
      </w:pPr>
      <w:r>
        <w:rPr>
          <w:rFonts w:eastAsia="宋体" w:cs="Arial"/>
          <w:lang w:eastAsia="zh-CN"/>
        </w:rPr>
        <w:t xml:space="preserve">UE capability related to </w:t>
      </w:r>
      <w:r w:rsidR="00702B8C">
        <w:rPr>
          <w:rFonts w:eastAsia="宋体" w:cs="Arial"/>
          <w:lang w:eastAsia="zh-CN"/>
        </w:rPr>
        <w:t>LB-LB switching</w:t>
      </w:r>
    </w:p>
    <w:p w14:paraId="2044C0A7" w14:textId="77777777" w:rsidR="008C3682" w:rsidRDefault="00191D3C" w:rsidP="00191D3C">
      <w:pPr>
        <w:snapToGrid w:val="0"/>
        <w:spacing w:before="180" w:after="0"/>
      </w:pPr>
      <w:r>
        <w:rPr>
          <w:rFonts w:hint="eastAsia"/>
        </w:rPr>
        <w:t>I</w:t>
      </w:r>
      <w:r>
        <w:t xml:space="preserve">n the WID, the example band combination is CA_n5-n29. But before the approved WI, companies discussed more about CA_n12-n29. CA_n12-n29 is quite special that the frequency isolation between band n12 UL and n29 DL is only </w:t>
      </w:r>
      <w:r>
        <w:lastRenderedPageBreak/>
        <w:t xml:space="preserve">1MHz. Thus, it is difficult to design filter for n12+n29. </w:t>
      </w:r>
      <w:r w:rsidR="008C3682">
        <w:t>Con-current</w:t>
      </w:r>
      <w:r>
        <w:t xml:space="preserve"> operation for (n12UL, n29DL) is not supported. It requires network scheduling restriction. </w:t>
      </w:r>
    </w:p>
    <w:p w14:paraId="66F2F1BA" w14:textId="6B9C4022" w:rsidR="00191D3C" w:rsidRDefault="00191D3C" w:rsidP="00191D3C">
      <w:pPr>
        <w:snapToGrid w:val="0"/>
        <w:spacing w:before="180" w:after="0"/>
      </w:pPr>
      <w:r>
        <w:t xml:space="preserve">The capability </w:t>
      </w:r>
      <w:proofErr w:type="spellStart"/>
      <w:r w:rsidRPr="00123D56">
        <w:rPr>
          <w:i/>
        </w:rPr>
        <w:t>simultaneous</w:t>
      </w:r>
      <w:r w:rsidRPr="00123D56">
        <w:rPr>
          <w:rFonts w:hint="eastAsia"/>
          <w:i/>
        </w:rPr>
        <w:t>RxTxI</w:t>
      </w:r>
      <w:r w:rsidRPr="00123D56">
        <w:rPr>
          <w:i/>
        </w:rPr>
        <w:t>nterBandCA</w:t>
      </w:r>
      <w:proofErr w:type="spellEnd"/>
      <w:r>
        <w:t xml:space="preserve"> is designed for TDD-TDD and TDD-FDD inter-band NR CA. And for FDD-FDD/ FDD-SDL inter-band NR CA, simultaneous Rx-Tx is </w:t>
      </w:r>
      <w:r w:rsidR="008C3682">
        <w:t xml:space="preserve">mandatorily </w:t>
      </w:r>
      <w:r>
        <w:t>supported</w:t>
      </w:r>
      <w:r w:rsidR="008C3682">
        <w:t xml:space="preserve"> without </w:t>
      </w:r>
      <w:proofErr w:type="spellStart"/>
      <w:r w:rsidR="008C3682">
        <w:t>signaling</w:t>
      </w:r>
      <w:proofErr w:type="spellEnd"/>
      <w:r>
        <w:t>. However, the case is different at least for CA_n12-n29</w:t>
      </w:r>
      <w:r w:rsidR="008C3682">
        <w:t xml:space="preserve"> via switching</w:t>
      </w:r>
      <w:r>
        <w:t>.</w:t>
      </w:r>
    </w:p>
    <w:p w14:paraId="11306522" w14:textId="12D83FF1" w:rsidR="00191D3C" w:rsidRPr="00123D56" w:rsidRDefault="00191D3C" w:rsidP="00191D3C">
      <w:pPr>
        <w:pStyle w:val="ae"/>
        <w:rPr>
          <w:i/>
        </w:rPr>
      </w:pPr>
      <w:bookmarkStart w:id="8" w:name="_Ref197699978"/>
      <w:r w:rsidRPr="00123D56">
        <w:rPr>
          <w:i/>
        </w:rPr>
        <w:t xml:space="preserve">Observation </w:t>
      </w:r>
      <w:r w:rsidRPr="00123D56">
        <w:rPr>
          <w:i/>
        </w:rPr>
        <w:fldChar w:fldCharType="begin"/>
      </w:r>
      <w:r w:rsidRPr="00123D56">
        <w:rPr>
          <w:i/>
        </w:rPr>
        <w:instrText xml:space="preserve"> SEQ Observation \* ARABIC </w:instrText>
      </w:r>
      <w:r w:rsidRPr="00123D56">
        <w:rPr>
          <w:i/>
        </w:rPr>
        <w:fldChar w:fldCharType="separate"/>
      </w:r>
      <w:r w:rsidR="00812DE0">
        <w:rPr>
          <w:i/>
          <w:noProof/>
        </w:rPr>
        <w:t>1</w:t>
      </w:r>
      <w:r w:rsidRPr="00123D56">
        <w:rPr>
          <w:i/>
        </w:rPr>
        <w:fldChar w:fldCharType="end"/>
      </w:r>
      <w:r w:rsidRPr="00123D56">
        <w:rPr>
          <w:i/>
        </w:rPr>
        <w:t xml:space="preserve">: The capability </w:t>
      </w:r>
      <w:proofErr w:type="spellStart"/>
      <w:r w:rsidRPr="00123D56">
        <w:rPr>
          <w:i/>
        </w:rPr>
        <w:t>simultaneous</w:t>
      </w:r>
      <w:r w:rsidRPr="00123D56">
        <w:rPr>
          <w:rFonts w:hint="eastAsia"/>
          <w:i/>
          <w:lang w:eastAsia="zh-CN"/>
        </w:rPr>
        <w:t>RxTxI</w:t>
      </w:r>
      <w:r w:rsidRPr="00123D56">
        <w:rPr>
          <w:i/>
        </w:rPr>
        <w:t>nterBandCA</w:t>
      </w:r>
      <w:proofErr w:type="spellEnd"/>
      <w:r w:rsidRPr="00123D56">
        <w:rPr>
          <w:i/>
        </w:rPr>
        <w:t xml:space="preserve"> is designed for TDD-TDD and TDD-FDD inter-band NR CA. And for FDD-FDD/ FDD-SDL inter-band NR CA, simultaneous Rx-Tx is </w:t>
      </w:r>
      <w:r w:rsidR="00896821" w:rsidRPr="00896821">
        <w:rPr>
          <w:i/>
        </w:rPr>
        <w:t xml:space="preserve">mandatorily supported without </w:t>
      </w:r>
      <w:proofErr w:type="spellStart"/>
      <w:r w:rsidR="00896821" w:rsidRPr="00896821">
        <w:rPr>
          <w:i/>
        </w:rPr>
        <w:t>signaling</w:t>
      </w:r>
      <w:proofErr w:type="spellEnd"/>
      <w:r w:rsidRPr="00123D56">
        <w:rPr>
          <w:i/>
        </w:rPr>
        <w:t>.</w:t>
      </w:r>
      <w:bookmarkEnd w:id="8"/>
    </w:p>
    <w:p w14:paraId="08A486CC" w14:textId="1EF7D495" w:rsidR="00191D3C" w:rsidRDefault="00191D3C" w:rsidP="00191D3C">
      <w:pPr>
        <w:spacing w:before="180"/>
      </w:pPr>
      <w:r>
        <w:t xml:space="preserve">Meanwhile, </w:t>
      </w:r>
      <w:r w:rsidR="008C3682">
        <w:t>con-current</w:t>
      </w:r>
      <w:r>
        <w:t xml:space="preserve"> operation for (n12DL, n29DL) is not supported either, since Rel-19 is to specify the switching between case 1 and case 2, and there is no </w:t>
      </w:r>
      <w:proofErr w:type="spellStart"/>
      <w:r>
        <w:t>dualRx</w:t>
      </w:r>
      <w:proofErr w:type="spellEnd"/>
      <w:r>
        <w:t xml:space="preserve"> for the two bands. </w:t>
      </w:r>
    </w:p>
    <w:p w14:paraId="2A8D3A9E" w14:textId="77777777" w:rsidR="00191D3C" w:rsidRDefault="00191D3C" w:rsidP="00191D3C">
      <w:pPr>
        <w:keepNext/>
        <w:jc w:val="center"/>
      </w:pPr>
      <w:r>
        <w:rPr>
          <w:noProof/>
        </w:rPr>
        <w:drawing>
          <wp:inline distT="0" distB="0" distL="0" distR="0" wp14:anchorId="51CC9C5D" wp14:editId="31977AA5">
            <wp:extent cx="3229200" cy="6228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29200" cy="622800"/>
                    </a:xfrm>
                    <a:prstGeom prst="rect">
                      <a:avLst/>
                    </a:prstGeom>
                  </pic:spPr>
                </pic:pic>
              </a:graphicData>
            </a:graphic>
          </wp:inline>
        </w:drawing>
      </w:r>
    </w:p>
    <w:p w14:paraId="070E7C8B" w14:textId="0B17A2A7" w:rsidR="00191D3C" w:rsidRDefault="00191D3C" w:rsidP="00191D3C">
      <w:pPr>
        <w:pStyle w:val="ae"/>
        <w:jc w:val="center"/>
      </w:pPr>
      <w:r>
        <w:t xml:space="preserve">Figure </w:t>
      </w:r>
      <w:r>
        <w:fldChar w:fldCharType="begin"/>
      </w:r>
      <w:r>
        <w:instrText xml:space="preserve"> SEQ Figure \* ARABIC </w:instrText>
      </w:r>
      <w:r>
        <w:fldChar w:fldCharType="separate"/>
      </w:r>
      <w:r w:rsidR="00812DE0">
        <w:rPr>
          <w:noProof/>
        </w:rPr>
        <w:t>4</w:t>
      </w:r>
      <w:r>
        <w:fldChar w:fldCharType="end"/>
      </w:r>
      <w:r>
        <w:t xml:space="preserve"> Frequency range illustration for CA_n12-n29</w:t>
      </w:r>
    </w:p>
    <w:p w14:paraId="32E767DA" w14:textId="7E25413B" w:rsidR="00191D3C" w:rsidRDefault="00191D3C" w:rsidP="00896821">
      <w:pPr>
        <w:snapToGrid w:val="0"/>
        <w:spacing w:after="0"/>
        <w:jc w:val="both"/>
      </w:pPr>
      <w:r>
        <w:rPr>
          <w:rFonts w:hint="eastAsia"/>
        </w:rPr>
        <w:t>T</w:t>
      </w:r>
      <w:r>
        <w:t xml:space="preserve">he definition of carrier aggregation is </w:t>
      </w:r>
      <w:r w:rsidRPr="00512754">
        <w:rPr>
          <w:b/>
        </w:rPr>
        <w:t>Aggregation of two or more component carriers in order to support wider transmission bandwidths</w:t>
      </w:r>
      <w:r>
        <w:rPr>
          <w:b/>
        </w:rPr>
        <w:t xml:space="preserve"> </w:t>
      </w:r>
      <w:r w:rsidRPr="00512754">
        <w:t>[</w:t>
      </w:r>
      <w:r w:rsidR="00896821">
        <w:t>2</w:t>
      </w:r>
      <w:r w:rsidRPr="00512754">
        <w:t>]</w:t>
      </w:r>
      <w:r w:rsidRPr="00A1115A">
        <w:t>.</w:t>
      </w:r>
      <w:r>
        <w:t xml:space="preserve"> For inter-band DL CA, the simultaneous Rx operation for both the DL bands must be supported, resulting in wider bandwidth. Therefore, for Rel-19 </w:t>
      </w:r>
      <w:r w:rsidR="00896821">
        <w:t>low band</w:t>
      </w:r>
      <w:r>
        <w:t xml:space="preserve"> FDD-</w:t>
      </w:r>
      <w:r>
        <w:rPr>
          <w:rFonts w:hint="eastAsia"/>
        </w:rPr>
        <w:t>SDL</w:t>
      </w:r>
      <w:r>
        <w:t xml:space="preserve"> </w:t>
      </w:r>
      <w:r w:rsidR="00896821">
        <w:t>inter-band CA via switching</w:t>
      </w:r>
      <w:r>
        <w:t xml:space="preserve"> that is not capable of </w:t>
      </w:r>
      <w:r w:rsidR="00896821">
        <w:t>con-current</w:t>
      </w:r>
      <w:r w:rsidRPr="00512754">
        <w:t xml:space="preserve"> Rx operation</w:t>
      </w:r>
      <w:r>
        <w:t>, the capability should be reported</w:t>
      </w:r>
      <w:r w:rsidR="00896821">
        <w:t xml:space="preserve"> separately from </w:t>
      </w:r>
      <w:proofErr w:type="spellStart"/>
      <w:r w:rsidR="00896821" w:rsidRPr="00896821">
        <w:rPr>
          <w:i/>
        </w:rPr>
        <w:t>BandCombinationList</w:t>
      </w:r>
      <w:proofErr w:type="spellEnd"/>
      <w:r w:rsidR="00896821">
        <w:rPr>
          <w:i/>
        </w:rPr>
        <w:t xml:space="preserve"> </w:t>
      </w:r>
      <w:r w:rsidR="00896821">
        <w:t>for inter-band CA</w:t>
      </w:r>
      <w:r>
        <w:t>.</w:t>
      </w:r>
    </w:p>
    <w:p w14:paraId="7287F7D3" w14:textId="7FBBDAF9" w:rsidR="00191D3C" w:rsidRPr="0084151E" w:rsidRDefault="00191D3C" w:rsidP="00191D3C">
      <w:pPr>
        <w:pStyle w:val="ae"/>
        <w:rPr>
          <w:i/>
        </w:rPr>
      </w:pPr>
      <w:bookmarkStart w:id="9" w:name="_Ref197699991"/>
      <w:r w:rsidRPr="0084151E">
        <w:rPr>
          <w:i/>
        </w:rPr>
        <w:t xml:space="preserve">Observation </w:t>
      </w:r>
      <w:r w:rsidRPr="0084151E">
        <w:rPr>
          <w:i/>
        </w:rPr>
        <w:fldChar w:fldCharType="begin"/>
      </w:r>
      <w:r w:rsidRPr="0084151E">
        <w:rPr>
          <w:i/>
        </w:rPr>
        <w:instrText xml:space="preserve"> SEQ Observation \* ARABIC </w:instrText>
      </w:r>
      <w:r w:rsidRPr="0084151E">
        <w:rPr>
          <w:i/>
        </w:rPr>
        <w:fldChar w:fldCharType="separate"/>
      </w:r>
      <w:r w:rsidR="00812DE0">
        <w:rPr>
          <w:i/>
          <w:noProof/>
        </w:rPr>
        <w:t>2</w:t>
      </w:r>
      <w:r w:rsidRPr="0084151E">
        <w:rPr>
          <w:i/>
        </w:rPr>
        <w:fldChar w:fldCharType="end"/>
      </w:r>
      <w:r w:rsidRPr="0084151E">
        <w:rPr>
          <w:i/>
        </w:rPr>
        <w:t xml:space="preserve">: Normally for inter-band DL CA band combination, </w:t>
      </w:r>
      <w:r w:rsidR="00896821">
        <w:rPr>
          <w:i/>
        </w:rPr>
        <w:t>con-current</w:t>
      </w:r>
      <w:r w:rsidRPr="0084151E">
        <w:rPr>
          <w:i/>
        </w:rPr>
        <w:t xml:space="preserve"> Rx operation for both the DL bands is supported.</w:t>
      </w:r>
      <w:bookmarkEnd w:id="9"/>
      <w:r>
        <w:rPr>
          <w:i/>
        </w:rPr>
        <w:t xml:space="preserve"> </w:t>
      </w:r>
    </w:p>
    <w:p w14:paraId="653B4D7D" w14:textId="5C6F4E41" w:rsidR="00191D3C" w:rsidRPr="0084151E" w:rsidRDefault="00191D3C" w:rsidP="00191D3C">
      <w:pPr>
        <w:pStyle w:val="ae"/>
        <w:rPr>
          <w:i/>
        </w:rPr>
      </w:pPr>
      <w:bookmarkStart w:id="10" w:name="_Ref197700043"/>
      <w:r w:rsidRPr="0084151E">
        <w:rPr>
          <w:i/>
        </w:rPr>
        <w:t xml:space="preserve">Proposal </w:t>
      </w:r>
      <w:r w:rsidRPr="0084151E">
        <w:rPr>
          <w:i/>
        </w:rPr>
        <w:fldChar w:fldCharType="begin"/>
      </w:r>
      <w:r w:rsidRPr="0084151E">
        <w:rPr>
          <w:i/>
        </w:rPr>
        <w:instrText xml:space="preserve"> SEQ Proposal \* ARABIC </w:instrText>
      </w:r>
      <w:r w:rsidRPr="0084151E">
        <w:rPr>
          <w:i/>
        </w:rPr>
        <w:fldChar w:fldCharType="separate"/>
      </w:r>
      <w:r w:rsidR="00812DE0">
        <w:rPr>
          <w:i/>
          <w:noProof/>
        </w:rPr>
        <w:t>2</w:t>
      </w:r>
      <w:r w:rsidRPr="0084151E">
        <w:rPr>
          <w:i/>
        </w:rPr>
        <w:fldChar w:fldCharType="end"/>
      </w:r>
      <w:r w:rsidRPr="0084151E">
        <w:rPr>
          <w:i/>
        </w:rPr>
        <w:t>:</w:t>
      </w:r>
      <w:r>
        <w:rPr>
          <w:i/>
        </w:rPr>
        <w:t xml:space="preserve"> F</w:t>
      </w:r>
      <w:r w:rsidRPr="0084151E">
        <w:rPr>
          <w:i/>
        </w:rPr>
        <w:t xml:space="preserve">or Rel-19 sub-1GHz FDD-SDL band combinations that is not capable of </w:t>
      </w:r>
      <w:r w:rsidR="000E3CEC">
        <w:rPr>
          <w:i/>
        </w:rPr>
        <w:t>con-current</w:t>
      </w:r>
      <w:r w:rsidRPr="0084151E">
        <w:rPr>
          <w:i/>
        </w:rPr>
        <w:t xml:space="preserve"> </w:t>
      </w:r>
      <w:r>
        <w:rPr>
          <w:i/>
        </w:rPr>
        <w:t>Rx</w:t>
      </w:r>
      <w:r w:rsidRPr="0084151E">
        <w:rPr>
          <w:i/>
        </w:rPr>
        <w:t xml:space="preserve"> operation, the capability should be </w:t>
      </w:r>
      <w:r w:rsidR="00896821">
        <w:rPr>
          <w:i/>
        </w:rPr>
        <w:t>separately</w:t>
      </w:r>
      <w:r w:rsidRPr="0084151E">
        <w:rPr>
          <w:i/>
        </w:rPr>
        <w:t xml:space="preserve"> reported</w:t>
      </w:r>
      <w:r w:rsidR="00896821">
        <w:rPr>
          <w:i/>
        </w:rPr>
        <w:t xml:space="preserve"> from </w:t>
      </w:r>
      <w:proofErr w:type="spellStart"/>
      <w:r w:rsidR="00896821" w:rsidRPr="00896821">
        <w:rPr>
          <w:i/>
        </w:rPr>
        <w:t>BandCombinationList</w:t>
      </w:r>
      <w:proofErr w:type="spellEnd"/>
      <w:r w:rsidR="00896821">
        <w:rPr>
          <w:i/>
        </w:rPr>
        <w:t xml:space="preserve"> </w:t>
      </w:r>
      <w:r w:rsidR="00896821" w:rsidRPr="00896821">
        <w:rPr>
          <w:i/>
        </w:rPr>
        <w:t>for inter-band CA</w:t>
      </w:r>
      <w:r w:rsidRPr="0084151E">
        <w:rPr>
          <w:i/>
        </w:rPr>
        <w:t>.</w:t>
      </w:r>
      <w:bookmarkEnd w:id="10"/>
    </w:p>
    <w:p w14:paraId="2F18ADB8" w14:textId="2DC1294A" w:rsidR="00191D3C" w:rsidRPr="00512754" w:rsidRDefault="00191D3C" w:rsidP="00191D3C">
      <w:r>
        <w:t xml:space="preserve">The UE capability should reflect the UE RF front-end architecture. The </w:t>
      </w:r>
      <w:r w:rsidR="000E3CEC">
        <w:t>con-current</w:t>
      </w:r>
      <w:r>
        <w:t xml:space="preserve"> operation of Rx-Tx, Rx-Rx depends on the UE architectures. </w:t>
      </w:r>
    </w:p>
    <w:p w14:paraId="60CD489A" w14:textId="77777777" w:rsidR="00191D3C" w:rsidRDefault="00191D3C" w:rsidP="00191D3C">
      <w:pPr>
        <w:jc w:val="center"/>
      </w:pPr>
      <w:r>
        <w:rPr>
          <w:rFonts w:hint="eastAsia"/>
          <w:noProof/>
        </w:rPr>
        <w:drawing>
          <wp:inline distT="0" distB="0" distL="0" distR="0" wp14:anchorId="2B596F36" wp14:editId="210C26B6">
            <wp:extent cx="3562350" cy="2599690"/>
            <wp:effectExtent l="0" t="0" r="0" b="0"/>
            <wp:docPr id="17" name="图片 17" descr="C:\Users\h00428148\AppData\Local\Microsoft\Windows\INetCache\Content.MSO\BA12041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BA120410.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62350" cy="2599690"/>
                    </a:xfrm>
                    <a:prstGeom prst="rect">
                      <a:avLst/>
                    </a:prstGeom>
                    <a:noFill/>
                    <a:ln>
                      <a:noFill/>
                    </a:ln>
                  </pic:spPr>
                </pic:pic>
              </a:graphicData>
            </a:graphic>
          </wp:inline>
        </w:drawing>
      </w:r>
    </w:p>
    <w:p w14:paraId="3E673734" w14:textId="082A13C2" w:rsidR="00191D3C" w:rsidRDefault="00191D3C" w:rsidP="00191D3C">
      <w:pPr>
        <w:jc w:val="center"/>
      </w:pPr>
      <w:r>
        <w:rPr>
          <w:rFonts w:hint="eastAsia"/>
        </w:rPr>
        <w:t>(</w:t>
      </w:r>
      <w:r>
        <w:t xml:space="preserve">a) </w:t>
      </w:r>
      <w:r>
        <w:rPr>
          <w:rFonts w:hint="eastAsia"/>
        </w:rPr>
        <w:t>T</w:t>
      </w:r>
      <w:r>
        <w:t>he UE architecture for CA_n12-n29 that simultaneous operation</w:t>
      </w:r>
      <w:r w:rsidR="000E3CEC">
        <w:t xml:space="preserve"> </w:t>
      </w:r>
      <w:r>
        <w:t>(n12DL, n29DL) is</w:t>
      </w:r>
      <w:r w:rsidRPr="007A7B28">
        <w:rPr>
          <w:b/>
        </w:rPr>
        <w:t xml:space="preserve"> not</w:t>
      </w:r>
      <w:r>
        <w:t xml:space="preserve"> supported</w:t>
      </w:r>
    </w:p>
    <w:p w14:paraId="18BD9804" w14:textId="77777777" w:rsidR="00191D3C" w:rsidRDefault="00191D3C" w:rsidP="00191D3C">
      <w:pPr>
        <w:pStyle w:val="ae"/>
        <w:jc w:val="center"/>
      </w:pPr>
      <w:r>
        <w:rPr>
          <w:rFonts w:hint="eastAsia"/>
          <w:noProof/>
        </w:rPr>
        <w:lastRenderedPageBreak/>
        <w:drawing>
          <wp:inline distT="0" distB="0" distL="0" distR="0" wp14:anchorId="6A35E184" wp14:editId="30197725">
            <wp:extent cx="3371850" cy="2882900"/>
            <wp:effectExtent l="0" t="0" r="0" b="0"/>
            <wp:docPr id="6" name="图片 6" descr="C:\Users\h00428148\AppData\Local\Microsoft\Windows\INetCache\Content.MSO\1D6FA4F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h00428148\AppData\Local\Microsoft\Windows\INetCache\Content.MSO\1D6FA4FA.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71850" cy="2882900"/>
                    </a:xfrm>
                    <a:prstGeom prst="rect">
                      <a:avLst/>
                    </a:prstGeom>
                    <a:noFill/>
                    <a:ln>
                      <a:noFill/>
                    </a:ln>
                  </pic:spPr>
                </pic:pic>
              </a:graphicData>
            </a:graphic>
          </wp:inline>
        </w:drawing>
      </w:r>
    </w:p>
    <w:p w14:paraId="3C7D87ED" w14:textId="77777777" w:rsidR="00191D3C" w:rsidRPr="0094373D" w:rsidRDefault="00191D3C" w:rsidP="00191D3C">
      <w:pPr>
        <w:snapToGrid w:val="0"/>
        <w:spacing w:after="0"/>
        <w:jc w:val="center"/>
      </w:pPr>
      <w:r>
        <w:t xml:space="preserve">(b) </w:t>
      </w:r>
      <w:r>
        <w:rPr>
          <w:rFonts w:hint="eastAsia"/>
        </w:rPr>
        <w:t>T</w:t>
      </w:r>
      <w:r>
        <w:t xml:space="preserve">he UE architecture for CA_n12-n29 that simultaneous operation (n12DL, n29DL) </w:t>
      </w:r>
      <w:r w:rsidRPr="007A7B28">
        <w:rPr>
          <w:b/>
        </w:rPr>
        <w:t>is supported</w:t>
      </w:r>
    </w:p>
    <w:p w14:paraId="36D46AF6" w14:textId="417EA50B" w:rsidR="00191D3C" w:rsidRDefault="00191D3C" w:rsidP="00191D3C">
      <w:pPr>
        <w:pStyle w:val="ae"/>
        <w:spacing w:after="240"/>
        <w:jc w:val="center"/>
      </w:pPr>
      <w:bookmarkStart w:id="11" w:name="_Ref188378929"/>
      <w:r>
        <w:t xml:space="preserve">Figure </w:t>
      </w:r>
      <w:r>
        <w:fldChar w:fldCharType="begin"/>
      </w:r>
      <w:r>
        <w:instrText xml:space="preserve"> SEQ Figure \* ARABIC </w:instrText>
      </w:r>
      <w:r>
        <w:fldChar w:fldCharType="separate"/>
      </w:r>
      <w:r w:rsidR="00812DE0">
        <w:rPr>
          <w:noProof/>
        </w:rPr>
        <w:t>5</w:t>
      </w:r>
      <w:r>
        <w:fldChar w:fldCharType="end"/>
      </w:r>
      <w:bookmarkEnd w:id="11"/>
      <w:r>
        <w:t xml:space="preserve"> UE RF front-end architectures for inter-band FDD-SDL CA_n12-n29</w:t>
      </w:r>
    </w:p>
    <w:p w14:paraId="0E182D5F" w14:textId="23AD1E6F" w:rsidR="00191D3C" w:rsidRDefault="00191D3C" w:rsidP="00191D3C">
      <w:pPr>
        <w:snapToGrid w:val="0"/>
        <w:spacing w:after="0"/>
      </w:pPr>
      <w:r>
        <w:rPr>
          <w:rFonts w:hint="eastAsia"/>
        </w:rPr>
        <w:t>T</w:t>
      </w:r>
      <w:r>
        <w:t xml:space="preserve">he filters for band n12 and n29 are separately designed in the reference UE RF front-end architecture in </w:t>
      </w:r>
      <w:r>
        <w:fldChar w:fldCharType="begin"/>
      </w:r>
      <w:r>
        <w:instrText xml:space="preserve"> REF _Ref188378929 \h </w:instrText>
      </w:r>
      <w:r>
        <w:fldChar w:fldCharType="separate"/>
      </w:r>
      <w:r w:rsidR="00812DE0">
        <w:t xml:space="preserve">Figure </w:t>
      </w:r>
      <w:r w:rsidR="00812DE0">
        <w:rPr>
          <w:noProof/>
        </w:rPr>
        <w:t>5</w:t>
      </w:r>
      <w:r>
        <w:fldChar w:fldCharType="end"/>
      </w:r>
      <w:r w:rsidRPr="0094373D">
        <w:t>(a) The UE architecture for CA_n12-n29 that simultaneous operation</w:t>
      </w:r>
      <w:r>
        <w:t xml:space="preserve"> </w:t>
      </w:r>
      <w:r w:rsidRPr="0094373D">
        <w:t>(n12DL, n29DL) is not supported</w:t>
      </w:r>
      <w:r w:rsidR="00812DE0">
        <w:t xml:space="preserve"> in Rel-19</w:t>
      </w:r>
      <w:r>
        <w:t xml:space="preserve">. Some companies also proposed that in the future release the </w:t>
      </w:r>
      <w:r w:rsidR="00170E23">
        <w:t xml:space="preserve">concurrent </w:t>
      </w:r>
      <w:r>
        <w:t>Rx on the two DL bands should be supported. The capability is related to scheduling restriction. The capability design should be scalable, not only reflect different UE architectures, but also apply to the requirements in different releases, and the inter-band CA with more than two bands.</w:t>
      </w:r>
    </w:p>
    <w:p w14:paraId="50914C5C" w14:textId="5DBC4ACC" w:rsidR="00191D3C" w:rsidRDefault="00191D3C" w:rsidP="00191D3C">
      <w:pPr>
        <w:pStyle w:val="ae"/>
        <w:rPr>
          <w:i/>
        </w:rPr>
      </w:pPr>
      <w:bookmarkStart w:id="12" w:name="_Ref197700003"/>
      <w:r w:rsidRPr="00123D56">
        <w:rPr>
          <w:i/>
        </w:rPr>
        <w:t xml:space="preserve">Observation </w:t>
      </w:r>
      <w:r w:rsidRPr="00123D56">
        <w:rPr>
          <w:i/>
        </w:rPr>
        <w:fldChar w:fldCharType="begin"/>
      </w:r>
      <w:r w:rsidRPr="00123D56">
        <w:rPr>
          <w:i/>
        </w:rPr>
        <w:instrText xml:space="preserve"> SEQ Observation \* ARABIC </w:instrText>
      </w:r>
      <w:r w:rsidRPr="00123D56">
        <w:rPr>
          <w:i/>
        </w:rPr>
        <w:fldChar w:fldCharType="separate"/>
      </w:r>
      <w:r w:rsidR="00812DE0">
        <w:rPr>
          <w:i/>
          <w:noProof/>
        </w:rPr>
        <w:t>3</w:t>
      </w:r>
      <w:r w:rsidRPr="00123D56">
        <w:rPr>
          <w:i/>
        </w:rPr>
        <w:fldChar w:fldCharType="end"/>
      </w:r>
      <w:r w:rsidRPr="00123D56">
        <w:rPr>
          <w:i/>
        </w:rPr>
        <w:t xml:space="preserve">: The capability of low band CA </w:t>
      </w:r>
      <w:r w:rsidR="00170E23">
        <w:rPr>
          <w:i/>
        </w:rPr>
        <w:t xml:space="preserve">via </w:t>
      </w:r>
      <w:r w:rsidRPr="00123D56">
        <w:rPr>
          <w:i/>
        </w:rPr>
        <w:t>switching is also related to scheduling restriction.</w:t>
      </w:r>
      <w:bookmarkEnd w:id="12"/>
    </w:p>
    <w:p w14:paraId="712B3DC2" w14:textId="263E049E" w:rsidR="00191D3C" w:rsidRDefault="00191D3C" w:rsidP="00170E23">
      <w:pPr>
        <w:snapToGrid w:val="0"/>
        <w:spacing w:after="0"/>
      </w:pPr>
      <w:r>
        <w:rPr>
          <w:rFonts w:hint="eastAsia"/>
        </w:rPr>
        <w:t>T</w:t>
      </w:r>
      <w:r>
        <w:t>he sub1GHz FDD-SDL low band CA switching capability design should take scheduling restriction into consideration. For FDD-SDL inter-band CA:</w:t>
      </w:r>
    </w:p>
    <w:p w14:paraId="22ED419A" w14:textId="77777777" w:rsidR="00191D3C" w:rsidRPr="00123D56" w:rsidRDefault="00191D3C" w:rsidP="00191D3C">
      <w:pPr>
        <w:pStyle w:val="afff0"/>
        <w:numPr>
          <w:ilvl w:val="0"/>
          <w:numId w:val="45"/>
        </w:numPr>
        <w:ind w:firstLineChars="0"/>
        <w:rPr>
          <w:rFonts w:ascii="Times New Roman" w:hAnsi="Times New Roman"/>
        </w:rPr>
      </w:pPr>
      <w:r w:rsidRPr="00123D56">
        <w:rPr>
          <w:rFonts w:ascii="Times New Roman" w:hAnsi="Times New Roman"/>
          <w:lang w:eastAsia="zh-CN"/>
        </w:rPr>
        <w:t>Simultaneous (FDD-DL, SDL-DL)</w:t>
      </w:r>
    </w:p>
    <w:p w14:paraId="02FA69D2" w14:textId="77777777" w:rsidR="00191D3C" w:rsidRPr="00123D56" w:rsidRDefault="00191D3C" w:rsidP="00191D3C">
      <w:pPr>
        <w:pStyle w:val="afff0"/>
        <w:numPr>
          <w:ilvl w:val="0"/>
          <w:numId w:val="45"/>
        </w:numPr>
        <w:ind w:firstLineChars="0"/>
        <w:rPr>
          <w:rFonts w:ascii="Times New Roman" w:hAnsi="Times New Roman"/>
        </w:rPr>
      </w:pPr>
      <w:r w:rsidRPr="00123D56">
        <w:rPr>
          <w:rFonts w:ascii="Times New Roman" w:hAnsi="Times New Roman"/>
          <w:lang w:eastAsia="zh-CN"/>
        </w:rPr>
        <w:t>Simultaneous (FDD-UL, SDL-DL)</w:t>
      </w:r>
    </w:p>
    <w:p w14:paraId="49860AB0" w14:textId="67FD0A4C" w:rsidR="00191D3C" w:rsidRPr="00391D6F" w:rsidRDefault="00191D3C" w:rsidP="002723D3">
      <w:pPr>
        <w:pStyle w:val="ae"/>
        <w:snapToGrid w:val="0"/>
        <w:spacing w:after="0"/>
        <w:rPr>
          <w:i/>
        </w:rPr>
      </w:pPr>
      <w:bookmarkStart w:id="13" w:name="_Ref197700055"/>
      <w:r w:rsidRPr="00391D6F">
        <w:rPr>
          <w:i/>
        </w:rPr>
        <w:t xml:space="preserve">Proposal </w:t>
      </w:r>
      <w:r w:rsidRPr="00391D6F">
        <w:rPr>
          <w:i/>
        </w:rPr>
        <w:fldChar w:fldCharType="begin"/>
      </w:r>
      <w:r w:rsidRPr="00391D6F">
        <w:rPr>
          <w:i/>
        </w:rPr>
        <w:instrText xml:space="preserve"> SEQ Proposal \* ARABIC </w:instrText>
      </w:r>
      <w:r w:rsidRPr="00391D6F">
        <w:rPr>
          <w:i/>
        </w:rPr>
        <w:fldChar w:fldCharType="separate"/>
      </w:r>
      <w:r w:rsidR="00812DE0">
        <w:rPr>
          <w:i/>
          <w:noProof/>
        </w:rPr>
        <w:t>3</w:t>
      </w:r>
      <w:r w:rsidRPr="00391D6F">
        <w:rPr>
          <w:i/>
        </w:rPr>
        <w:fldChar w:fldCharType="end"/>
      </w:r>
      <w:r w:rsidRPr="00391D6F">
        <w:rPr>
          <w:i/>
        </w:rPr>
        <w:t xml:space="preserve">: </w:t>
      </w:r>
      <w:r w:rsidRPr="00391D6F">
        <w:rPr>
          <w:rFonts w:hint="eastAsia"/>
          <w:i/>
        </w:rPr>
        <w:t>T</w:t>
      </w:r>
      <w:r w:rsidRPr="00391D6F">
        <w:rPr>
          <w:i/>
        </w:rPr>
        <w:t>he sub1GHz FDD-SDL low band CA switching capability design should take scheduling restriction into consideration.</w:t>
      </w:r>
      <w:bookmarkEnd w:id="13"/>
    </w:p>
    <w:p w14:paraId="3654D02A" w14:textId="77779D46" w:rsidR="00191D3C" w:rsidRPr="001525A6" w:rsidRDefault="00191D3C" w:rsidP="00191D3C">
      <w:pPr>
        <w:pStyle w:val="ae"/>
      </w:pPr>
      <w:bookmarkStart w:id="14" w:name="_Ref197700059"/>
      <w:r w:rsidRPr="00123D56">
        <w:rPr>
          <w:i/>
        </w:rPr>
        <w:t xml:space="preserve">Proposal </w:t>
      </w:r>
      <w:r w:rsidRPr="00123D56">
        <w:rPr>
          <w:i/>
        </w:rPr>
        <w:fldChar w:fldCharType="begin"/>
      </w:r>
      <w:r w:rsidRPr="00123D56">
        <w:rPr>
          <w:i/>
        </w:rPr>
        <w:instrText xml:space="preserve"> SEQ Proposal \* ARABIC </w:instrText>
      </w:r>
      <w:r w:rsidRPr="00123D56">
        <w:rPr>
          <w:i/>
        </w:rPr>
        <w:fldChar w:fldCharType="separate"/>
      </w:r>
      <w:r w:rsidR="00812DE0">
        <w:rPr>
          <w:i/>
          <w:noProof/>
        </w:rPr>
        <w:t>4</w:t>
      </w:r>
      <w:r w:rsidRPr="00123D56">
        <w:rPr>
          <w:i/>
        </w:rPr>
        <w:fldChar w:fldCharType="end"/>
      </w:r>
      <w:r w:rsidRPr="00123D56">
        <w:rPr>
          <w:i/>
        </w:rPr>
        <w:t>: The capability design should be scalable, not only reflect different UE architectures, but also apply to the requirements in different releases, and the inter-band CA with more than two bands</w:t>
      </w:r>
      <w:r w:rsidRPr="004B31FA">
        <w:t>.</w:t>
      </w:r>
      <w:bookmarkEnd w:id="14"/>
    </w:p>
    <w:p w14:paraId="187561C1" w14:textId="77777777" w:rsidR="002723D3" w:rsidRDefault="002723D3" w:rsidP="008C3682">
      <w:pPr>
        <w:snapToGrid w:val="0"/>
        <w:spacing w:after="0"/>
      </w:pPr>
    </w:p>
    <w:p w14:paraId="74B1F4E3" w14:textId="767C4524" w:rsidR="008C3682" w:rsidRDefault="008C3682" w:rsidP="008C3682">
      <w:pPr>
        <w:snapToGrid w:val="0"/>
        <w:spacing w:after="0"/>
      </w:pPr>
      <w:r>
        <w:t xml:space="preserve">For Rel-19 </w:t>
      </w:r>
      <w:r w:rsidR="00170E23">
        <w:t>low band</w:t>
      </w:r>
      <w:r>
        <w:t xml:space="preserve"> FDD-SDL </w:t>
      </w:r>
      <w:r w:rsidR="00170E23">
        <w:t xml:space="preserve">CA via </w:t>
      </w:r>
      <w:r>
        <w:t xml:space="preserve">switching, the capability should be per-BC reported. When network receives the </w:t>
      </w:r>
      <w:r w:rsidR="00170E23">
        <w:t>low band FDD-SDL CA via</w:t>
      </w:r>
      <w:r>
        <w:t xml:space="preserve"> </w:t>
      </w:r>
      <w:r>
        <w:rPr>
          <w:rFonts w:hint="eastAsia"/>
        </w:rPr>
        <w:t>switching</w:t>
      </w:r>
      <w:r>
        <w:t xml:space="preserve"> capability, the RRC configuration of the switching pattern should be configured. The switching pattern enables the TDM of the operations on the two bands.</w:t>
      </w:r>
    </w:p>
    <w:p w14:paraId="6A0CA212" w14:textId="6828A4C6" w:rsidR="008C3682" w:rsidRPr="0084151E" w:rsidRDefault="008C3682" w:rsidP="008C3682">
      <w:pPr>
        <w:pStyle w:val="ae"/>
        <w:rPr>
          <w:i/>
        </w:rPr>
      </w:pPr>
      <w:bookmarkStart w:id="15" w:name="_Ref197700073"/>
      <w:r w:rsidRPr="0084151E">
        <w:rPr>
          <w:i/>
        </w:rPr>
        <w:t xml:space="preserve">Proposal </w:t>
      </w:r>
      <w:r w:rsidRPr="0084151E">
        <w:rPr>
          <w:i/>
        </w:rPr>
        <w:fldChar w:fldCharType="begin"/>
      </w:r>
      <w:r w:rsidRPr="0084151E">
        <w:rPr>
          <w:i/>
        </w:rPr>
        <w:instrText xml:space="preserve"> SEQ Proposal \* ARABIC </w:instrText>
      </w:r>
      <w:r w:rsidRPr="0084151E">
        <w:rPr>
          <w:i/>
        </w:rPr>
        <w:fldChar w:fldCharType="separate"/>
      </w:r>
      <w:r w:rsidR="00812DE0">
        <w:rPr>
          <w:i/>
          <w:noProof/>
        </w:rPr>
        <w:t>5</w:t>
      </w:r>
      <w:r w:rsidRPr="0084151E">
        <w:rPr>
          <w:i/>
        </w:rPr>
        <w:fldChar w:fldCharType="end"/>
      </w:r>
      <w:r w:rsidRPr="0084151E">
        <w:rPr>
          <w:i/>
        </w:rPr>
        <w:t xml:space="preserve">: When network receives the per-BC </w:t>
      </w:r>
      <w:r w:rsidR="002723D3">
        <w:rPr>
          <w:i/>
          <w:lang w:eastAsia="zh-CN"/>
        </w:rPr>
        <w:t>low band CA via</w:t>
      </w:r>
      <w:r w:rsidRPr="0084151E">
        <w:rPr>
          <w:i/>
        </w:rPr>
        <w:t xml:space="preserve"> </w:t>
      </w:r>
      <w:r w:rsidRPr="0084151E">
        <w:rPr>
          <w:rFonts w:hint="eastAsia"/>
          <w:i/>
          <w:lang w:eastAsia="zh-CN"/>
        </w:rPr>
        <w:t>switching</w:t>
      </w:r>
      <w:r w:rsidRPr="0084151E">
        <w:rPr>
          <w:i/>
        </w:rPr>
        <w:t xml:space="preserve"> capability, the RRC configuration of the switching pattern should be configured.</w:t>
      </w:r>
      <w:bookmarkEnd w:id="15"/>
    </w:p>
    <w:bookmarkEnd w:id="3"/>
    <w:p w14:paraId="38406C3F" w14:textId="4876B370"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t>Conclusion</w:t>
      </w:r>
    </w:p>
    <w:p w14:paraId="1A857BF0" w14:textId="5D96A907" w:rsidR="00671A68" w:rsidRDefault="00814EDE" w:rsidP="00671A68">
      <w:pPr>
        <w:rPr>
          <w:b/>
          <w:i/>
          <w:lang w:val="en-US"/>
        </w:rPr>
      </w:pPr>
      <w:r w:rsidRPr="00086BFD">
        <w:t>In this contribution we discussed</w:t>
      </w:r>
      <w:r w:rsidR="00A72EC6">
        <w:rPr>
          <w:rFonts w:hint="eastAsia"/>
        </w:rPr>
        <w:t xml:space="preserve"> </w:t>
      </w:r>
      <w:r w:rsidR="00A72EC6" w:rsidRPr="00086BFD">
        <w:t>on</w:t>
      </w:r>
      <w:r w:rsidR="00310C7F">
        <w:t xml:space="preserve"> </w:t>
      </w:r>
      <w:r w:rsidR="009D4A1E">
        <w:t xml:space="preserve">low band </w:t>
      </w:r>
      <w:r w:rsidR="009D4A1E">
        <w:rPr>
          <w:rFonts w:hint="eastAsia"/>
        </w:rPr>
        <w:t>CA</w:t>
      </w:r>
      <w:r w:rsidR="009D4A1E">
        <w:t xml:space="preserve"> via switching</w:t>
      </w:r>
      <w:r w:rsidR="00A72EC6" w:rsidRPr="00086BFD">
        <w:t xml:space="preserve">, according to the analysis, we have the following </w:t>
      </w:r>
      <w:r w:rsidR="00AF2051">
        <w:t xml:space="preserve">observation and </w:t>
      </w:r>
      <w:r w:rsidR="00A72EC6" w:rsidRPr="00086BFD">
        <w:t>proposal</w:t>
      </w:r>
      <w:r w:rsidR="00A72EC6">
        <w:rPr>
          <w:rFonts w:hint="eastAsia"/>
        </w:rPr>
        <w:t>s</w:t>
      </w:r>
      <w:r w:rsidRPr="00086BFD">
        <w:t>:</w:t>
      </w:r>
      <w:r w:rsidR="00671A68" w:rsidRPr="00671A68">
        <w:rPr>
          <w:rFonts w:hint="eastAsia"/>
          <w:b/>
          <w:i/>
          <w:lang w:val="en-US"/>
        </w:rPr>
        <w:t xml:space="preserve"> </w:t>
      </w:r>
    </w:p>
    <w:p w14:paraId="77DF5857" w14:textId="1E5D9DB2" w:rsidR="00D70524" w:rsidRPr="00D70524" w:rsidRDefault="00D70524" w:rsidP="00671A68">
      <w:pPr>
        <w:rPr>
          <w:b/>
          <w:i/>
          <w:lang w:val="en-US"/>
        </w:rPr>
      </w:pPr>
      <w:r w:rsidRPr="00D70524">
        <w:rPr>
          <w:b/>
          <w:i/>
          <w:lang w:val="en-US"/>
        </w:rPr>
        <w:fldChar w:fldCharType="begin"/>
      </w:r>
      <w:r w:rsidRPr="00D70524">
        <w:rPr>
          <w:b/>
          <w:i/>
          <w:lang w:val="en-US"/>
        </w:rPr>
        <w:instrText xml:space="preserve"> </w:instrText>
      </w:r>
      <w:r w:rsidRPr="00D70524">
        <w:rPr>
          <w:rFonts w:hint="eastAsia"/>
          <w:b/>
          <w:i/>
          <w:lang w:val="en-US"/>
        </w:rPr>
        <w:instrText>REF _Ref197699978 \h</w:instrText>
      </w:r>
      <w:r w:rsidRPr="00D70524">
        <w:rPr>
          <w:b/>
          <w:i/>
          <w:lang w:val="en-US"/>
        </w:rPr>
        <w:instrText xml:space="preserve"> </w:instrText>
      </w:r>
      <w:r w:rsidRPr="00D70524">
        <w:rPr>
          <w:b/>
          <w:i/>
          <w:lang w:val="en-US"/>
        </w:rPr>
      </w:r>
      <w:r w:rsidRPr="00D70524">
        <w:rPr>
          <w:b/>
          <w:i/>
          <w:lang w:val="en-US"/>
        </w:rPr>
        <w:instrText xml:space="preserve"> \* MERGEFORMAT </w:instrText>
      </w:r>
      <w:r w:rsidRPr="00D70524">
        <w:rPr>
          <w:b/>
          <w:i/>
          <w:lang w:val="en-US"/>
        </w:rPr>
        <w:fldChar w:fldCharType="separate"/>
      </w:r>
      <w:r w:rsidRPr="00D70524">
        <w:rPr>
          <w:b/>
          <w:i/>
        </w:rPr>
        <w:t xml:space="preserve">Observation </w:t>
      </w:r>
      <w:r w:rsidRPr="00D70524">
        <w:rPr>
          <w:b/>
          <w:i/>
          <w:noProof/>
        </w:rPr>
        <w:t>1</w:t>
      </w:r>
      <w:r w:rsidRPr="00D70524">
        <w:rPr>
          <w:b/>
          <w:i/>
        </w:rPr>
        <w:t xml:space="preserve">: The capability </w:t>
      </w:r>
      <w:proofErr w:type="spellStart"/>
      <w:r w:rsidRPr="00D70524">
        <w:rPr>
          <w:b/>
          <w:i/>
        </w:rPr>
        <w:t>simultaneous</w:t>
      </w:r>
      <w:r w:rsidRPr="00D70524">
        <w:rPr>
          <w:rFonts w:hint="eastAsia"/>
          <w:b/>
          <w:i/>
        </w:rPr>
        <w:t>RxTxI</w:t>
      </w:r>
      <w:r w:rsidRPr="00D70524">
        <w:rPr>
          <w:b/>
          <w:i/>
        </w:rPr>
        <w:t>nterBandCA</w:t>
      </w:r>
      <w:proofErr w:type="spellEnd"/>
      <w:r w:rsidRPr="00D70524">
        <w:rPr>
          <w:b/>
          <w:i/>
        </w:rPr>
        <w:t xml:space="preserve"> is designed for TDD-TDD and TDD-FDD inter-band NR CA. And for FDD-FDD/ FDD-SDL inter-band NR CA, simultaneous Rx-Tx is mandatorily supported without </w:t>
      </w:r>
      <w:proofErr w:type="spellStart"/>
      <w:r w:rsidRPr="00D70524">
        <w:rPr>
          <w:b/>
          <w:i/>
        </w:rPr>
        <w:t>signaling</w:t>
      </w:r>
      <w:proofErr w:type="spellEnd"/>
      <w:r w:rsidRPr="00D70524">
        <w:rPr>
          <w:b/>
          <w:i/>
        </w:rPr>
        <w:t>.</w:t>
      </w:r>
      <w:r w:rsidRPr="00D70524">
        <w:rPr>
          <w:b/>
          <w:i/>
          <w:lang w:val="en-US"/>
        </w:rPr>
        <w:fldChar w:fldCharType="end"/>
      </w:r>
    </w:p>
    <w:p w14:paraId="1EB66CAA" w14:textId="08776EEA" w:rsidR="00D70524" w:rsidRPr="00D70524" w:rsidRDefault="00D70524" w:rsidP="00671A68">
      <w:pPr>
        <w:rPr>
          <w:b/>
          <w:i/>
          <w:lang w:val="en-US"/>
        </w:rPr>
      </w:pPr>
      <w:r w:rsidRPr="00D70524">
        <w:rPr>
          <w:b/>
          <w:i/>
          <w:lang w:val="en-US"/>
        </w:rPr>
        <w:fldChar w:fldCharType="begin"/>
      </w:r>
      <w:r w:rsidRPr="00D70524">
        <w:rPr>
          <w:b/>
          <w:i/>
          <w:lang w:val="en-US"/>
        </w:rPr>
        <w:instrText xml:space="preserve"> </w:instrText>
      </w:r>
      <w:r w:rsidRPr="00D70524">
        <w:rPr>
          <w:rFonts w:hint="eastAsia"/>
          <w:b/>
          <w:i/>
          <w:lang w:val="en-US"/>
        </w:rPr>
        <w:instrText>REF _Ref197699991 \h</w:instrText>
      </w:r>
      <w:r w:rsidRPr="00D70524">
        <w:rPr>
          <w:b/>
          <w:i/>
          <w:lang w:val="en-US"/>
        </w:rPr>
        <w:instrText xml:space="preserve"> </w:instrText>
      </w:r>
      <w:r w:rsidRPr="00D70524">
        <w:rPr>
          <w:b/>
          <w:i/>
          <w:lang w:val="en-US"/>
        </w:rPr>
      </w:r>
      <w:r w:rsidRPr="00D70524">
        <w:rPr>
          <w:b/>
          <w:i/>
          <w:lang w:val="en-US"/>
        </w:rPr>
        <w:instrText xml:space="preserve"> \* MERGEFORMAT </w:instrText>
      </w:r>
      <w:r w:rsidRPr="00D70524">
        <w:rPr>
          <w:b/>
          <w:i/>
          <w:lang w:val="en-US"/>
        </w:rPr>
        <w:fldChar w:fldCharType="separate"/>
      </w:r>
      <w:r w:rsidRPr="00D70524">
        <w:rPr>
          <w:b/>
          <w:i/>
        </w:rPr>
        <w:t xml:space="preserve">Observation </w:t>
      </w:r>
      <w:r w:rsidRPr="00D70524">
        <w:rPr>
          <w:b/>
          <w:i/>
          <w:noProof/>
        </w:rPr>
        <w:t>2</w:t>
      </w:r>
      <w:r w:rsidRPr="00D70524">
        <w:rPr>
          <w:b/>
          <w:i/>
        </w:rPr>
        <w:t>: Normally for inter-band DL CA band combination, con-current Rx operation for both the DL bands is supported.</w:t>
      </w:r>
      <w:r w:rsidRPr="00D70524">
        <w:rPr>
          <w:b/>
          <w:i/>
          <w:lang w:val="en-US"/>
        </w:rPr>
        <w:fldChar w:fldCharType="end"/>
      </w:r>
    </w:p>
    <w:p w14:paraId="3D804FB0" w14:textId="68E6B1CA" w:rsidR="00D70524" w:rsidRPr="00D70524" w:rsidRDefault="00D70524" w:rsidP="00671A68">
      <w:pPr>
        <w:rPr>
          <w:b/>
          <w:i/>
          <w:lang w:val="en-US"/>
        </w:rPr>
      </w:pPr>
      <w:r w:rsidRPr="00D70524">
        <w:rPr>
          <w:b/>
          <w:i/>
          <w:lang w:val="en-US"/>
        </w:rPr>
        <w:fldChar w:fldCharType="begin"/>
      </w:r>
      <w:r w:rsidRPr="00D70524">
        <w:rPr>
          <w:b/>
          <w:i/>
          <w:lang w:val="en-US"/>
        </w:rPr>
        <w:instrText xml:space="preserve"> </w:instrText>
      </w:r>
      <w:r w:rsidRPr="00D70524">
        <w:rPr>
          <w:rFonts w:hint="eastAsia"/>
          <w:b/>
          <w:i/>
          <w:lang w:val="en-US"/>
        </w:rPr>
        <w:instrText>REF _Ref197700003 \h</w:instrText>
      </w:r>
      <w:r w:rsidRPr="00D70524">
        <w:rPr>
          <w:b/>
          <w:i/>
          <w:lang w:val="en-US"/>
        </w:rPr>
        <w:instrText xml:space="preserve"> </w:instrText>
      </w:r>
      <w:r w:rsidRPr="00D70524">
        <w:rPr>
          <w:b/>
          <w:i/>
          <w:lang w:val="en-US"/>
        </w:rPr>
      </w:r>
      <w:r w:rsidRPr="00D70524">
        <w:rPr>
          <w:b/>
          <w:i/>
          <w:lang w:val="en-US"/>
        </w:rPr>
        <w:instrText xml:space="preserve"> \* MERGEFORMAT </w:instrText>
      </w:r>
      <w:r w:rsidRPr="00D70524">
        <w:rPr>
          <w:b/>
          <w:i/>
          <w:lang w:val="en-US"/>
        </w:rPr>
        <w:fldChar w:fldCharType="separate"/>
      </w:r>
      <w:r w:rsidRPr="00D70524">
        <w:rPr>
          <w:b/>
          <w:i/>
        </w:rPr>
        <w:t xml:space="preserve">Observation </w:t>
      </w:r>
      <w:r w:rsidRPr="00D70524">
        <w:rPr>
          <w:b/>
          <w:i/>
          <w:noProof/>
        </w:rPr>
        <w:t>3</w:t>
      </w:r>
      <w:r w:rsidRPr="00D70524">
        <w:rPr>
          <w:b/>
          <w:i/>
        </w:rPr>
        <w:t>: The capability of low band CA via switching is also related to scheduling restriction.</w:t>
      </w:r>
      <w:r w:rsidRPr="00D70524">
        <w:rPr>
          <w:b/>
          <w:i/>
          <w:lang w:val="en-US"/>
        </w:rPr>
        <w:fldChar w:fldCharType="end"/>
      </w:r>
    </w:p>
    <w:p w14:paraId="61A131DA" w14:textId="753F87B8" w:rsidR="00D70524" w:rsidRPr="00D70524" w:rsidRDefault="00D70524" w:rsidP="00D70524">
      <w:pPr>
        <w:snapToGrid w:val="0"/>
        <w:spacing w:after="0"/>
        <w:rPr>
          <w:b/>
          <w:i/>
          <w:lang w:val="en-US"/>
        </w:rPr>
      </w:pPr>
      <w:r w:rsidRPr="00D70524">
        <w:rPr>
          <w:b/>
          <w:i/>
          <w:lang w:val="en-US"/>
        </w:rPr>
        <w:lastRenderedPageBreak/>
        <w:fldChar w:fldCharType="begin"/>
      </w:r>
      <w:r w:rsidRPr="00D70524">
        <w:rPr>
          <w:b/>
          <w:i/>
          <w:lang w:val="en-US"/>
        </w:rPr>
        <w:instrText xml:space="preserve"> </w:instrText>
      </w:r>
      <w:r w:rsidRPr="00D70524">
        <w:rPr>
          <w:rFonts w:hint="eastAsia"/>
          <w:b/>
          <w:i/>
          <w:lang w:val="en-US"/>
        </w:rPr>
        <w:instrText>REF _Ref197700020 \h</w:instrText>
      </w:r>
      <w:r w:rsidRPr="00D70524">
        <w:rPr>
          <w:b/>
          <w:i/>
          <w:lang w:val="en-US"/>
        </w:rPr>
        <w:instrText xml:space="preserve"> </w:instrText>
      </w:r>
      <w:r w:rsidRPr="00D70524">
        <w:rPr>
          <w:b/>
          <w:i/>
          <w:lang w:val="en-US"/>
        </w:rPr>
      </w:r>
      <w:r w:rsidRPr="00D70524">
        <w:rPr>
          <w:b/>
          <w:i/>
          <w:lang w:val="en-US"/>
        </w:rPr>
        <w:instrText xml:space="preserve"> \* MERGEFORMAT </w:instrText>
      </w:r>
      <w:r w:rsidRPr="00D70524">
        <w:rPr>
          <w:b/>
          <w:i/>
          <w:lang w:val="en-US"/>
        </w:rPr>
        <w:fldChar w:fldCharType="separate"/>
      </w:r>
      <w:r w:rsidRPr="00D70524">
        <w:rPr>
          <w:b/>
          <w:i/>
        </w:rPr>
        <w:t xml:space="preserve">Proposal </w:t>
      </w:r>
      <w:r w:rsidRPr="00D70524">
        <w:rPr>
          <w:b/>
          <w:i/>
          <w:noProof/>
        </w:rPr>
        <w:t>1</w:t>
      </w:r>
      <w:r w:rsidRPr="00D70524">
        <w:rPr>
          <w:b/>
          <w:i/>
        </w:rPr>
        <w:t>: The Tx on-off time masks for LB-LB switching show:</w:t>
      </w:r>
      <w:r w:rsidRPr="00D70524">
        <w:rPr>
          <w:b/>
          <w:i/>
          <w:lang w:val="en-US"/>
        </w:rPr>
        <w:fldChar w:fldCharType="end"/>
      </w:r>
    </w:p>
    <w:p w14:paraId="4E8D95AA" w14:textId="77777777" w:rsidR="00D70524" w:rsidRPr="00D70524" w:rsidRDefault="00D70524" w:rsidP="00D70524">
      <w:pPr>
        <w:pStyle w:val="afff0"/>
        <w:numPr>
          <w:ilvl w:val="0"/>
          <w:numId w:val="47"/>
        </w:numPr>
        <w:snapToGrid w:val="0"/>
        <w:ind w:firstLineChars="0"/>
        <w:rPr>
          <w:rFonts w:ascii="Times New Roman" w:hAnsi="Times New Roman"/>
          <w:b/>
          <w:i/>
          <w:sz w:val="20"/>
          <w:lang w:eastAsia="en-US"/>
        </w:rPr>
      </w:pPr>
      <w:r w:rsidRPr="00D70524">
        <w:rPr>
          <w:rFonts w:ascii="Times New Roman" w:hAnsi="Times New Roman"/>
          <w:b/>
          <w:i/>
          <w:sz w:val="20"/>
          <w:lang w:eastAsia="en-US"/>
        </w:rPr>
        <w:t>The transmissions configured on the SDL/FDD avoid the OFDM symbols occupied by switching period in the semi-static switching pattern.</w:t>
      </w:r>
    </w:p>
    <w:p w14:paraId="28B36A55" w14:textId="77777777" w:rsidR="00D70524" w:rsidRPr="00D70524" w:rsidRDefault="00D70524" w:rsidP="00D70524">
      <w:pPr>
        <w:pStyle w:val="afff0"/>
        <w:numPr>
          <w:ilvl w:val="0"/>
          <w:numId w:val="47"/>
        </w:numPr>
        <w:snapToGrid w:val="0"/>
        <w:spacing w:afterLines="50" w:after="120"/>
        <w:ind w:firstLineChars="0"/>
        <w:rPr>
          <w:rFonts w:ascii="Times New Roman" w:hAnsi="Times New Roman"/>
          <w:b/>
          <w:i/>
          <w:sz w:val="20"/>
          <w:lang w:eastAsia="en-US"/>
        </w:rPr>
      </w:pPr>
      <w:r w:rsidRPr="00D70524">
        <w:rPr>
          <w:rFonts w:ascii="Times New Roman" w:hAnsi="Times New Roman"/>
          <w:b/>
          <w:i/>
          <w:sz w:val="20"/>
          <w:lang w:eastAsia="zh-CN"/>
        </w:rPr>
        <w:t>TA between FDD carrier and SDL carrier, if SDL is borrowed in the Tx time mask.</w:t>
      </w:r>
    </w:p>
    <w:p w14:paraId="11358DCC" w14:textId="214688EB" w:rsidR="00D70524" w:rsidRPr="00D70524" w:rsidRDefault="00D70524" w:rsidP="00671A68">
      <w:pPr>
        <w:rPr>
          <w:b/>
          <w:i/>
          <w:lang w:val="x-none"/>
        </w:rPr>
      </w:pPr>
      <w:r w:rsidRPr="00D70524">
        <w:rPr>
          <w:b/>
          <w:i/>
          <w:lang w:val="x-none"/>
        </w:rPr>
        <w:fldChar w:fldCharType="begin"/>
      </w:r>
      <w:r w:rsidRPr="00D70524">
        <w:rPr>
          <w:b/>
          <w:i/>
          <w:lang w:val="x-none"/>
        </w:rPr>
        <w:instrText xml:space="preserve"> </w:instrText>
      </w:r>
      <w:r w:rsidRPr="00D70524">
        <w:rPr>
          <w:rFonts w:hint="eastAsia"/>
          <w:b/>
          <w:i/>
          <w:lang w:val="x-none"/>
        </w:rPr>
        <w:instrText>REF _Ref197700043 \h</w:instrText>
      </w:r>
      <w:r w:rsidRPr="00D70524">
        <w:rPr>
          <w:b/>
          <w:i/>
          <w:lang w:val="x-none"/>
        </w:rPr>
        <w:instrText xml:space="preserve"> </w:instrText>
      </w:r>
      <w:r w:rsidRPr="00D70524">
        <w:rPr>
          <w:b/>
          <w:i/>
          <w:lang w:val="x-none"/>
        </w:rPr>
      </w:r>
      <w:r w:rsidRPr="00D70524">
        <w:rPr>
          <w:b/>
          <w:i/>
          <w:lang w:val="x-none"/>
        </w:rPr>
        <w:instrText xml:space="preserve"> \* MERGEFORMAT </w:instrText>
      </w:r>
      <w:r w:rsidRPr="00D70524">
        <w:rPr>
          <w:b/>
          <w:i/>
          <w:lang w:val="x-none"/>
        </w:rPr>
        <w:fldChar w:fldCharType="separate"/>
      </w:r>
      <w:r w:rsidRPr="00D70524">
        <w:rPr>
          <w:b/>
          <w:i/>
        </w:rPr>
        <w:t xml:space="preserve">Proposal </w:t>
      </w:r>
      <w:r w:rsidRPr="00D70524">
        <w:rPr>
          <w:b/>
          <w:i/>
          <w:noProof/>
        </w:rPr>
        <w:t>2</w:t>
      </w:r>
      <w:r w:rsidRPr="00D70524">
        <w:rPr>
          <w:b/>
          <w:i/>
        </w:rPr>
        <w:t xml:space="preserve">: For Rel-19 sub-1GHz FDD-SDL band combinations that is not capable of con-current Rx operation, the capability should be separately reported from </w:t>
      </w:r>
      <w:proofErr w:type="spellStart"/>
      <w:r w:rsidRPr="00D70524">
        <w:rPr>
          <w:b/>
          <w:i/>
        </w:rPr>
        <w:t>BandCombinationList</w:t>
      </w:r>
      <w:proofErr w:type="spellEnd"/>
      <w:r w:rsidRPr="00D70524">
        <w:rPr>
          <w:b/>
          <w:i/>
        </w:rPr>
        <w:t xml:space="preserve"> for inter-band CA.</w:t>
      </w:r>
      <w:r w:rsidRPr="00D70524">
        <w:rPr>
          <w:b/>
          <w:i/>
          <w:lang w:val="x-none"/>
        </w:rPr>
        <w:fldChar w:fldCharType="end"/>
      </w:r>
    </w:p>
    <w:p w14:paraId="16A53658" w14:textId="29FF6894" w:rsidR="00D70524" w:rsidRPr="00D70524" w:rsidRDefault="00D70524" w:rsidP="00671A68">
      <w:pPr>
        <w:rPr>
          <w:b/>
          <w:i/>
          <w:lang w:val="x-none"/>
        </w:rPr>
      </w:pPr>
      <w:r w:rsidRPr="00D70524">
        <w:rPr>
          <w:b/>
          <w:i/>
          <w:lang w:val="x-none"/>
        </w:rPr>
        <w:fldChar w:fldCharType="begin"/>
      </w:r>
      <w:r w:rsidRPr="00D70524">
        <w:rPr>
          <w:b/>
          <w:i/>
          <w:lang w:val="x-none"/>
        </w:rPr>
        <w:instrText xml:space="preserve"> </w:instrText>
      </w:r>
      <w:r w:rsidRPr="00D70524">
        <w:rPr>
          <w:rFonts w:hint="eastAsia"/>
          <w:b/>
          <w:i/>
          <w:lang w:val="x-none"/>
        </w:rPr>
        <w:instrText>REF _Ref197700055 \h</w:instrText>
      </w:r>
      <w:r w:rsidRPr="00D70524">
        <w:rPr>
          <w:b/>
          <w:i/>
          <w:lang w:val="x-none"/>
        </w:rPr>
        <w:instrText xml:space="preserve"> </w:instrText>
      </w:r>
      <w:r w:rsidRPr="00D70524">
        <w:rPr>
          <w:b/>
          <w:i/>
          <w:lang w:val="x-none"/>
        </w:rPr>
      </w:r>
      <w:r w:rsidRPr="00D70524">
        <w:rPr>
          <w:b/>
          <w:i/>
          <w:lang w:val="x-none"/>
        </w:rPr>
        <w:instrText xml:space="preserve"> \* MERGEFORMAT </w:instrText>
      </w:r>
      <w:r w:rsidRPr="00D70524">
        <w:rPr>
          <w:b/>
          <w:i/>
          <w:lang w:val="x-none"/>
        </w:rPr>
        <w:fldChar w:fldCharType="separate"/>
      </w:r>
      <w:r w:rsidRPr="00D70524">
        <w:rPr>
          <w:b/>
          <w:i/>
        </w:rPr>
        <w:t xml:space="preserve">Proposal </w:t>
      </w:r>
      <w:r w:rsidRPr="00D70524">
        <w:rPr>
          <w:b/>
          <w:i/>
          <w:noProof/>
        </w:rPr>
        <w:t>3</w:t>
      </w:r>
      <w:r w:rsidRPr="00D70524">
        <w:rPr>
          <w:b/>
          <w:i/>
        </w:rPr>
        <w:t xml:space="preserve">: </w:t>
      </w:r>
      <w:r w:rsidRPr="00D70524">
        <w:rPr>
          <w:rFonts w:hint="eastAsia"/>
          <w:b/>
          <w:i/>
        </w:rPr>
        <w:t>T</w:t>
      </w:r>
      <w:r w:rsidRPr="00D70524">
        <w:rPr>
          <w:b/>
          <w:i/>
        </w:rPr>
        <w:t>he sub1GHz FDD-SDL low band CA switching capability design should take scheduling restriction into consideration.</w:t>
      </w:r>
      <w:r w:rsidRPr="00D70524">
        <w:rPr>
          <w:b/>
          <w:i/>
          <w:lang w:val="x-none"/>
        </w:rPr>
        <w:fldChar w:fldCharType="end"/>
      </w:r>
    </w:p>
    <w:p w14:paraId="1A3C8B16" w14:textId="465BBB00" w:rsidR="00D70524" w:rsidRPr="00D70524" w:rsidRDefault="00D70524" w:rsidP="00671A68">
      <w:pPr>
        <w:rPr>
          <w:b/>
          <w:i/>
          <w:lang w:val="x-none"/>
        </w:rPr>
      </w:pPr>
      <w:r w:rsidRPr="00D70524">
        <w:rPr>
          <w:b/>
          <w:i/>
          <w:lang w:val="x-none"/>
        </w:rPr>
        <w:fldChar w:fldCharType="begin"/>
      </w:r>
      <w:r w:rsidRPr="00D70524">
        <w:rPr>
          <w:b/>
          <w:i/>
          <w:lang w:val="x-none"/>
        </w:rPr>
        <w:instrText xml:space="preserve"> </w:instrText>
      </w:r>
      <w:r w:rsidRPr="00D70524">
        <w:rPr>
          <w:rFonts w:hint="eastAsia"/>
          <w:b/>
          <w:i/>
          <w:lang w:val="x-none"/>
        </w:rPr>
        <w:instrText>REF _Ref197700059 \h</w:instrText>
      </w:r>
      <w:r w:rsidRPr="00D70524">
        <w:rPr>
          <w:b/>
          <w:i/>
          <w:lang w:val="x-none"/>
        </w:rPr>
        <w:instrText xml:space="preserve"> </w:instrText>
      </w:r>
      <w:r w:rsidRPr="00D70524">
        <w:rPr>
          <w:b/>
          <w:i/>
          <w:lang w:val="x-none"/>
        </w:rPr>
      </w:r>
      <w:r w:rsidRPr="00D70524">
        <w:rPr>
          <w:b/>
          <w:i/>
          <w:lang w:val="x-none"/>
        </w:rPr>
        <w:instrText xml:space="preserve"> \* MERGEFORMAT </w:instrText>
      </w:r>
      <w:r w:rsidRPr="00D70524">
        <w:rPr>
          <w:b/>
          <w:i/>
          <w:lang w:val="x-none"/>
        </w:rPr>
        <w:fldChar w:fldCharType="separate"/>
      </w:r>
      <w:r w:rsidRPr="00D70524">
        <w:rPr>
          <w:b/>
          <w:i/>
        </w:rPr>
        <w:t xml:space="preserve">Proposal </w:t>
      </w:r>
      <w:r w:rsidRPr="00D70524">
        <w:rPr>
          <w:b/>
          <w:i/>
          <w:noProof/>
        </w:rPr>
        <w:t>4</w:t>
      </w:r>
      <w:r w:rsidRPr="00D70524">
        <w:rPr>
          <w:b/>
          <w:i/>
        </w:rPr>
        <w:t>: The capability design should be scalable, not only reflect different UE architectures, but also apply to the requirements in different releases, and the inter-band CA with more than two bands</w:t>
      </w:r>
      <w:r w:rsidRPr="00D70524">
        <w:rPr>
          <w:b/>
        </w:rPr>
        <w:t>.</w:t>
      </w:r>
      <w:r w:rsidRPr="00D70524">
        <w:rPr>
          <w:b/>
          <w:i/>
          <w:lang w:val="x-none"/>
        </w:rPr>
        <w:fldChar w:fldCharType="end"/>
      </w:r>
    </w:p>
    <w:p w14:paraId="5BAB06BB" w14:textId="4821C28B" w:rsidR="00D70524" w:rsidRPr="00D70524" w:rsidRDefault="00D70524" w:rsidP="00671A68">
      <w:pPr>
        <w:rPr>
          <w:rFonts w:hint="eastAsia"/>
          <w:b/>
          <w:i/>
          <w:lang w:val="x-none"/>
        </w:rPr>
      </w:pPr>
      <w:r w:rsidRPr="00D70524">
        <w:rPr>
          <w:b/>
          <w:i/>
          <w:lang w:val="x-none"/>
        </w:rPr>
        <w:fldChar w:fldCharType="begin"/>
      </w:r>
      <w:r w:rsidRPr="00D70524">
        <w:rPr>
          <w:b/>
          <w:i/>
          <w:lang w:val="x-none"/>
        </w:rPr>
        <w:instrText xml:space="preserve"> </w:instrText>
      </w:r>
      <w:r w:rsidRPr="00D70524">
        <w:rPr>
          <w:rFonts w:hint="eastAsia"/>
          <w:b/>
          <w:i/>
          <w:lang w:val="x-none"/>
        </w:rPr>
        <w:instrText>REF _Ref197700073 \h</w:instrText>
      </w:r>
      <w:r w:rsidRPr="00D70524">
        <w:rPr>
          <w:b/>
          <w:i/>
          <w:lang w:val="x-none"/>
        </w:rPr>
        <w:instrText xml:space="preserve"> </w:instrText>
      </w:r>
      <w:r w:rsidRPr="00D70524">
        <w:rPr>
          <w:b/>
          <w:i/>
          <w:lang w:val="x-none"/>
        </w:rPr>
      </w:r>
      <w:r w:rsidRPr="00D70524">
        <w:rPr>
          <w:b/>
          <w:i/>
          <w:lang w:val="x-none"/>
        </w:rPr>
        <w:instrText xml:space="preserve"> \* MERGEFORMAT </w:instrText>
      </w:r>
      <w:r w:rsidRPr="00D70524">
        <w:rPr>
          <w:b/>
          <w:i/>
          <w:lang w:val="x-none"/>
        </w:rPr>
        <w:fldChar w:fldCharType="separate"/>
      </w:r>
      <w:r w:rsidRPr="00D70524">
        <w:rPr>
          <w:b/>
          <w:i/>
        </w:rPr>
        <w:t xml:space="preserve">Proposal </w:t>
      </w:r>
      <w:r w:rsidRPr="00D70524">
        <w:rPr>
          <w:b/>
          <w:i/>
          <w:noProof/>
        </w:rPr>
        <w:t>5</w:t>
      </w:r>
      <w:r w:rsidRPr="00D70524">
        <w:rPr>
          <w:b/>
          <w:i/>
        </w:rPr>
        <w:t xml:space="preserve">: When network receives the per-BC low band CA via </w:t>
      </w:r>
      <w:r w:rsidRPr="00D70524">
        <w:rPr>
          <w:rFonts w:hint="eastAsia"/>
          <w:b/>
          <w:i/>
        </w:rPr>
        <w:t>switching</w:t>
      </w:r>
      <w:r w:rsidRPr="00D70524">
        <w:rPr>
          <w:b/>
          <w:i/>
        </w:rPr>
        <w:t xml:space="preserve"> capability, the RRC configuration of the switching pattern should be configured.</w:t>
      </w:r>
      <w:r w:rsidRPr="00D70524">
        <w:rPr>
          <w:b/>
          <w:i/>
          <w:lang w:val="x-none"/>
        </w:rPr>
        <w:fldChar w:fldCharType="end"/>
      </w:r>
    </w:p>
    <w:p w14:paraId="29A65BBD" w14:textId="5B21DF7C" w:rsidR="00B22DA6" w:rsidRPr="00635D5B" w:rsidRDefault="00B22DA6" w:rsidP="00B22DA6">
      <w:pPr>
        <w:pStyle w:val="1"/>
        <w:numPr>
          <w:ilvl w:val="0"/>
          <w:numId w:val="0"/>
        </w:numPr>
        <w:rPr>
          <w:rFonts w:eastAsia="宋体" w:cs="Arial"/>
          <w:lang w:eastAsia="zh-CN"/>
        </w:rPr>
      </w:pPr>
      <w:r w:rsidRPr="00635D5B">
        <w:rPr>
          <w:rFonts w:cs="Arial"/>
        </w:rPr>
        <w:t>References</w:t>
      </w:r>
    </w:p>
    <w:p w14:paraId="352233DF" w14:textId="1402E721" w:rsidR="00060078" w:rsidRDefault="00635D5B" w:rsidP="0097060C">
      <w:pPr>
        <w:snapToGrid w:val="0"/>
        <w:spacing w:after="60"/>
      </w:pPr>
      <w:r>
        <w:rPr>
          <w:rFonts w:hint="eastAsia"/>
        </w:rPr>
        <w:t>[1]</w:t>
      </w:r>
      <w:r>
        <w:t xml:space="preserve"> </w:t>
      </w:r>
      <w:r w:rsidR="00060078" w:rsidRPr="00060078">
        <w:t>R4-2505223</w:t>
      </w:r>
      <w:r w:rsidR="00060078">
        <w:t xml:space="preserve">, </w:t>
      </w:r>
      <w:r w:rsidR="00060078" w:rsidRPr="00060078">
        <w:t>WF on UE RF requirements for LB CA via switching</w:t>
      </w:r>
      <w:r w:rsidR="00060078">
        <w:t>, Apple, RAN4#114bis, April, 2025.</w:t>
      </w:r>
    </w:p>
    <w:p w14:paraId="67B8E052" w14:textId="39208087" w:rsidR="00896821" w:rsidRDefault="00896821" w:rsidP="0097060C">
      <w:pPr>
        <w:snapToGrid w:val="0"/>
        <w:spacing w:after="60"/>
      </w:pPr>
      <w:r>
        <w:rPr>
          <w:rFonts w:hint="eastAsia"/>
        </w:rPr>
        <w:t>[</w:t>
      </w:r>
      <w:r>
        <w:t xml:space="preserve">2] TS </w:t>
      </w:r>
      <w:r>
        <w:rPr>
          <w:lang w:val="en-US"/>
        </w:rPr>
        <w:t>38.101-1</w:t>
      </w:r>
    </w:p>
    <w:sectPr w:rsidR="00896821" w:rsidSect="000A0E84">
      <w:footerReference w:type="default" r:id="rId14"/>
      <w:footnotePr>
        <w:numRestart w:val="eachSect"/>
      </w:footnotePr>
      <w:pgSz w:w="11907" w:h="16840" w:code="9"/>
      <w:pgMar w:top="1418" w:right="1134" w:bottom="1134" w:left="1134"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FE66" w16cex:dateUtc="2025-03-24T06:53:00Z"/>
  <w16cex:commentExtensible w16cex:durableId="2B8C01C9" w16cex:dateUtc="2025-03-24T07: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74208" w14:textId="77777777" w:rsidR="00087F76" w:rsidRDefault="00087F76" w:rsidP="0052762B">
      <w:r>
        <w:separator/>
      </w:r>
    </w:p>
  </w:endnote>
  <w:endnote w:type="continuationSeparator" w:id="0">
    <w:p w14:paraId="361ED0C7" w14:textId="77777777" w:rsidR="00087F76" w:rsidRDefault="00087F7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ＭＳ ゴシック"/>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C7CE" w14:textId="77777777" w:rsidR="00353EA3" w:rsidRDefault="00353EA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A4AB3" w14:textId="77777777" w:rsidR="00087F76" w:rsidRDefault="00087F76" w:rsidP="0052762B">
      <w:r>
        <w:separator/>
      </w:r>
    </w:p>
  </w:footnote>
  <w:footnote w:type="continuationSeparator" w:id="0">
    <w:p w14:paraId="02D5CD6F" w14:textId="77777777" w:rsidR="00087F76" w:rsidRDefault="00087F7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0B0E"/>
    <w:multiLevelType w:val="hybridMultilevel"/>
    <w:tmpl w:val="9CC01FB8"/>
    <w:lvl w:ilvl="0" w:tplc="041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C6DA1A48">
      <w:numFmt w:val="bullet"/>
      <w:lvlText w:val="-"/>
      <w:lvlJc w:val="left"/>
      <w:pPr>
        <w:ind w:left="984" w:hanging="420"/>
      </w:pPr>
      <w:rPr>
        <w:rFonts w:ascii="Arial" w:eastAsia="MS Mincho" w:hAnsi="Arial" w:cs="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F6979"/>
    <w:multiLevelType w:val="hybridMultilevel"/>
    <w:tmpl w:val="FDEE23F0"/>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0326B"/>
    <w:multiLevelType w:val="hybridMultilevel"/>
    <w:tmpl w:val="CDE0B99A"/>
    <w:lvl w:ilvl="0" w:tplc="D48200D0">
      <w:start w:val="1"/>
      <w:numFmt w:val="bullet"/>
      <w:lvlText w:val="–"/>
      <w:lvlJc w:val="left"/>
      <w:pPr>
        <w:tabs>
          <w:tab w:val="num" w:pos="360"/>
        </w:tabs>
        <w:ind w:left="360" w:hanging="360"/>
      </w:pPr>
      <w:rPr>
        <w:rFonts w:ascii="Arial" w:hAnsi="Arial" w:hint="default"/>
      </w:rPr>
    </w:lvl>
    <w:lvl w:ilvl="1" w:tplc="882C8700">
      <w:start w:val="1"/>
      <w:numFmt w:val="bullet"/>
      <w:lvlText w:val="–"/>
      <w:lvlJc w:val="left"/>
      <w:pPr>
        <w:tabs>
          <w:tab w:val="num" w:pos="1080"/>
        </w:tabs>
        <w:ind w:left="1080" w:hanging="360"/>
      </w:pPr>
      <w:rPr>
        <w:rFonts w:ascii="Arial" w:hAnsi="Arial" w:hint="default"/>
      </w:rPr>
    </w:lvl>
    <w:lvl w:ilvl="2" w:tplc="A9906D9A">
      <w:numFmt w:val="bullet"/>
      <w:lvlText w:val="•"/>
      <w:lvlJc w:val="left"/>
      <w:pPr>
        <w:tabs>
          <w:tab w:val="num" w:pos="1800"/>
        </w:tabs>
        <w:ind w:left="1800" w:hanging="360"/>
      </w:pPr>
      <w:rPr>
        <w:rFonts w:ascii="Arial" w:hAnsi="Arial" w:hint="default"/>
      </w:rPr>
    </w:lvl>
    <w:lvl w:ilvl="3" w:tplc="17406CB0">
      <w:numFmt w:val="bullet"/>
      <w:lvlText w:val="–"/>
      <w:lvlJc w:val="left"/>
      <w:pPr>
        <w:tabs>
          <w:tab w:val="num" w:pos="2520"/>
        </w:tabs>
        <w:ind w:left="2520" w:hanging="360"/>
      </w:pPr>
      <w:rPr>
        <w:rFonts w:ascii="Arial" w:hAnsi="Arial" w:hint="default"/>
      </w:rPr>
    </w:lvl>
    <w:lvl w:ilvl="4" w:tplc="F676C094" w:tentative="1">
      <w:start w:val="1"/>
      <w:numFmt w:val="bullet"/>
      <w:lvlText w:val="–"/>
      <w:lvlJc w:val="left"/>
      <w:pPr>
        <w:tabs>
          <w:tab w:val="num" w:pos="3240"/>
        </w:tabs>
        <w:ind w:left="3240" w:hanging="360"/>
      </w:pPr>
      <w:rPr>
        <w:rFonts w:ascii="Arial" w:hAnsi="Arial" w:hint="default"/>
      </w:rPr>
    </w:lvl>
    <w:lvl w:ilvl="5" w:tplc="92DEF312" w:tentative="1">
      <w:start w:val="1"/>
      <w:numFmt w:val="bullet"/>
      <w:lvlText w:val="–"/>
      <w:lvlJc w:val="left"/>
      <w:pPr>
        <w:tabs>
          <w:tab w:val="num" w:pos="3960"/>
        </w:tabs>
        <w:ind w:left="3960" w:hanging="360"/>
      </w:pPr>
      <w:rPr>
        <w:rFonts w:ascii="Arial" w:hAnsi="Arial" w:hint="default"/>
      </w:rPr>
    </w:lvl>
    <w:lvl w:ilvl="6" w:tplc="8AE63B72" w:tentative="1">
      <w:start w:val="1"/>
      <w:numFmt w:val="bullet"/>
      <w:lvlText w:val="–"/>
      <w:lvlJc w:val="left"/>
      <w:pPr>
        <w:tabs>
          <w:tab w:val="num" w:pos="4680"/>
        </w:tabs>
        <w:ind w:left="4680" w:hanging="360"/>
      </w:pPr>
      <w:rPr>
        <w:rFonts w:ascii="Arial" w:hAnsi="Arial" w:hint="default"/>
      </w:rPr>
    </w:lvl>
    <w:lvl w:ilvl="7" w:tplc="E78C7F1C" w:tentative="1">
      <w:start w:val="1"/>
      <w:numFmt w:val="bullet"/>
      <w:lvlText w:val="–"/>
      <w:lvlJc w:val="left"/>
      <w:pPr>
        <w:tabs>
          <w:tab w:val="num" w:pos="5400"/>
        </w:tabs>
        <w:ind w:left="5400" w:hanging="360"/>
      </w:pPr>
      <w:rPr>
        <w:rFonts w:ascii="Arial" w:hAnsi="Arial" w:hint="default"/>
      </w:rPr>
    </w:lvl>
    <w:lvl w:ilvl="8" w:tplc="BADE548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A5A270E"/>
    <w:multiLevelType w:val="multilevel"/>
    <w:tmpl w:val="8F8C8D4A"/>
    <w:lvl w:ilvl="0">
      <w:start w:val="1"/>
      <w:numFmt w:val="decimal"/>
      <w:pStyle w:val="1"/>
      <w:lvlText w:val="%1"/>
      <w:lvlJc w:val="left"/>
      <w:pPr>
        <w:tabs>
          <w:tab w:val="num" w:pos="397"/>
        </w:tabs>
        <w:ind w:left="533" w:hanging="533"/>
      </w:pPr>
      <w:rPr>
        <w:rFonts w:hint="eastAsia"/>
        <w:lang w:val="en-US"/>
      </w:rPr>
    </w:lvl>
    <w:lvl w:ilvl="1">
      <w:start w:val="1"/>
      <w:numFmt w:val="decimal"/>
      <w:pStyle w:val="2"/>
      <w:lvlText w:val="%1.%2"/>
      <w:lvlJc w:val="left"/>
      <w:pPr>
        <w:tabs>
          <w:tab w:val="num" w:pos="2099"/>
        </w:tabs>
        <w:ind w:left="1702"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D3138C"/>
    <w:multiLevelType w:val="hybridMultilevel"/>
    <w:tmpl w:val="3E0A85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825F2E"/>
    <w:multiLevelType w:val="hybridMultilevel"/>
    <w:tmpl w:val="6BF61FA8"/>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3C4E1C"/>
    <w:multiLevelType w:val="hybridMultilevel"/>
    <w:tmpl w:val="B99ABA12"/>
    <w:lvl w:ilvl="0" w:tplc="B3567BD8">
      <w:start w:val="1"/>
      <w:numFmt w:val="bullet"/>
      <w:lvlText w:val="•"/>
      <w:lvlJc w:val="left"/>
      <w:pPr>
        <w:tabs>
          <w:tab w:val="num" w:pos="720"/>
        </w:tabs>
        <w:ind w:left="720" w:hanging="360"/>
      </w:pPr>
      <w:rPr>
        <w:rFonts w:ascii="Arial" w:hAnsi="Arial" w:hint="default"/>
      </w:rPr>
    </w:lvl>
    <w:lvl w:ilvl="1" w:tplc="AD8C4CD4">
      <w:numFmt w:val="bullet"/>
      <w:lvlText w:val="–"/>
      <w:lvlJc w:val="left"/>
      <w:pPr>
        <w:tabs>
          <w:tab w:val="num" w:pos="1440"/>
        </w:tabs>
        <w:ind w:left="1440" w:hanging="360"/>
      </w:pPr>
      <w:rPr>
        <w:rFonts w:ascii="Arial" w:hAnsi="Arial" w:hint="default"/>
      </w:rPr>
    </w:lvl>
    <w:lvl w:ilvl="2" w:tplc="EC0C1754">
      <w:numFmt w:val="bullet"/>
      <w:lvlText w:val="•"/>
      <w:lvlJc w:val="left"/>
      <w:pPr>
        <w:tabs>
          <w:tab w:val="num" w:pos="2160"/>
        </w:tabs>
        <w:ind w:left="2160" w:hanging="360"/>
      </w:pPr>
      <w:rPr>
        <w:rFonts w:ascii="Arial" w:hAnsi="Arial" w:hint="default"/>
      </w:rPr>
    </w:lvl>
    <w:lvl w:ilvl="3" w:tplc="367822B8">
      <w:numFmt w:val="bullet"/>
      <w:lvlText w:val="–"/>
      <w:lvlJc w:val="left"/>
      <w:pPr>
        <w:tabs>
          <w:tab w:val="num" w:pos="2880"/>
        </w:tabs>
        <w:ind w:left="2880" w:hanging="360"/>
      </w:pPr>
      <w:rPr>
        <w:rFonts w:ascii="Arial" w:hAnsi="Arial" w:hint="default"/>
      </w:rPr>
    </w:lvl>
    <w:lvl w:ilvl="4" w:tplc="797CF126" w:tentative="1">
      <w:start w:val="1"/>
      <w:numFmt w:val="bullet"/>
      <w:lvlText w:val="•"/>
      <w:lvlJc w:val="left"/>
      <w:pPr>
        <w:tabs>
          <w:tab w:val="num" w:pos="3600"/>
        </w:tabs>
        <w:ind w:left="3600" w:hanging="360"/>
      </w:pPr>
      <w:rPr>
        <w:rFonts w:ascii="Arial" w:hAnsi="Arial" w:hint="default"/>
      </w:rPr>
    </w:lvl>
    <w:lvl w:ilvl="5" w:tplc="0776A960" w:tentative="1">
      <w:start w:val="1"/>
      <w:numFmt w:val="bullet"/>
      <w:lvlText w:val="•"/>
      <w:lvlJc w:val="left"/>
      <w:pPr>
        <w:tabs>
          <w:tab w:val="num" w:pos="4320"/>
        </w:tabs>
        <w:ind w:left="4320" w:hanging="360"/>
      </w:pPr>
      <w:rPr>
        <w:rFonts w:ascii="Arial" w:hAnsi="Arial" w:hint="default"/>
      </w:rPr>
    </w:lvl>
    <w:lvl w:ilvl="6" w:tplc="678025F0" w:tentative="1">
      <w:start w:val="1"/>
      <w:numFmt w:val="bullet"/>
      <w:lvlText w:val="•"/>
      <w:lvlJc w:val="left"/>
      <w:pPr>
        <w:tabs>
          <w:tab w:val="num" w:pos="5040"/>
        </w:tabs>
        <w:ind w:left="5040" w:hanging="360"/>
      </w:pPr>
      <w:rPr>
        <w:rFonts w:ascii="Arial" w:hAnsi="Arial" w:hint="default"/>
      </w:rPr>
    </w:lvl>
    <w:lvl w:ilvl="7" w:tplc="D9E25FF4" w:tentative="1">
      <w:start w:val="1"/>
      <w:numFmt w:val="bullet"/>
      <w:lvlText w:val="•"/>
      <w:lvlJc w:val="left"/>
      <w:pPr>
        <w:tabs>
          <w:tab w:val="num" w:pos="5760"/>
        </w:tabs>
        <w:ind w:left="5760" w:hanging="360"/>
      </w:pPr>
      <w:rPr>
        <w:rFonts w:ascii="Arial" w:hAnsi="Arial" w:hint="default"/>
      </w:rPr>
    </w:lvl>
    <w:lvl w:ilvl="8" w:tplc="90A45D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822F92"/>
    <w:multiLevelType w:val="hybridMultilevel"/>
    <w:tmpl w:val="80BC533A"/>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201F7513"/>
    <w:multiLevelType w:val="hybridMultilevel"/>
    <w:tmpl w:val="3A4AB664"/>
    <w:lvl w:ilvl="0" w:tplc="C3FC2354">
      <w:start w:val="1"/>
      <w:numFmt w:val="bullet"/>
      <w:lvlText w:val="&gt;"/>
      <w:lvlJc w:val="left"/>
      <w:pPr>
        <w:tabs>
          <w:tab w:val="num" w:pos="720"/>
        </w:tabs>
        <w:ind w:left="720" w:hanging="360"/>
      </w:pPr>
      <w:rPr>
        <w:rFonts w:ascii=".AppleSystemUIFont" w:hAnsi=".AppleSystemUIFont" w:hint="default"/>
      </w:rPr>
    </w:lvl>
    <w:lvl w:ilvl="1" w:tplc="B7DE6736">
      <w:start w:val="1"/>
      <w:numFmt w:val="bullet"/>
      <w:lvlText w:val="&gt;"/>
      <w:lvlJc w:val="left"/>
      <w:pPr>
        <w:tabs>
          <w:tab w:val="num" w:pos="1440"/>
        </w:tabs>
        <w:ind w:left="1440" w:hanging="360"/>
      </w:pPr>
      <w:rPr>
        <w:rFonts w:ascii=".AppleSystemUIFont" w:hAnsi=".AppleSystemUIFont" w:hint="default"/>
      </w:rPr>
    </w:lvl>
    <w:lvl w:ilvl="2" w:tplc="DD72ED3E" w:tentative="1">
      <w:start w:val="1"/>
      <w:numFmt w:val="bullet"/>
      <w:lvlText w:val="&gt;"/>
      <w:lvlJc w:val="left"/>
      <w:pPr>
        <w:tabs>
          <w:tab w:val="num" w:pos="2160"/>
        </w:tabs>
        <w:ind w:left="2160" w:hanging="360"/>
      </w:pPr>
      <w:rPr>
        <w:rFonts w:ascii=".AppleSystemUIFont" w:hAnsi=".AppleSystemUIFont" w:hint="default"/>
      </w:rPr>
    </w:lvl>
    <w:lvl w:ilvl="3" w:tplc="00426114" w:tentative="1">
      <w:start w:val="1"/>
      <w:numFmt w:val="bullet"/>
      <w:lvlText w:val="&gt;"/>
      <w:lvlJc w:val="left"/>
      <w:pPr>
        <w:tabs>
          <w:tab w:val="num" w:pos="2880"/>
        </w:tabs>
        <w:ind w:left="2880" w:hanging="360"/>
      </w:pPr>
      <w:rPr>
        <w:rFonts w:ascii=".AppleSystemUIFont" w:hAnsi=".AppleSystemUIFont" w:hint="default"/>
      </w:rPr>
    </w:lvl>
    <w:lvl w:ilvl="4" w:tplc="B4C2FB1E" w:tentative="1">
      <w:start w:val="1"/>
      <w:numFmt w:val="bullet"/>
      <w:lvlText w:val="&gt;"/>
      <w:lvlJc w:val="left"/>
      <w:pPr>
        <w:tabs>
          <w:tab w:val="num" w:pos="3600"/>
        </w:tabs>
        <w:ind w:left="3600" w:hanging="360"/>
      </w:pPr>
      <w:rPr>
        <w:rFonts w:ascii=".AppleSystemUIFont" w:hAnsi=".AppleSystemUIFont" w:hint="default"/>
      </w:rPr>
    </w:lvl>
    <w:lvl w:ilvl="5" w:tplc="6BB68B78" w:tentative="1">
      <w:start w:val="1"/>
      <w:numFmt w:val="bullet"/>
      <w:lvlText w:val="&gt;"/>
      <w:lvlJc w:val="left"/>
      <w:pPr>
        <w:tabs>
          <w:tab w:val="num" w:pos="4320"/>
        </w:tabs>
        <w:ind w:left="4320" w:hanging="360"/>
      </w:pPr>
      <w:rPr>
        <w:rFonts w:ascii=".AppleSystemUIFont" w:hAnsi=".AppleSystemUIFont" w:hint="default"/>
      </w:rPr>
    </w:lvl>
    <w:lvl w:ilvl="6" w:tplc="1B34F406" w:tentative="1">
      <w:start w:val="1"/>
      <w:numFmt w:val="bullet"/>
      <w:lvlText w:val="&gt;"/>
      <w:lvlJc w:val="left"/>
      <w:pPr>
        <w:tabs>
          <w:tab w:val="num" w:pos="5040"/>
        </w:tabs>
        <w:ind w:left="5040" w:hanging="360"/>
      </w:pPr>
      <w:rPr>
        <w:rFonts w:ascii=".AppleSystemUIFont" w:hAnsi=".AppleSystemUIFont" w:hint="default"/>
      </w:rPr>
    </w:lvl>
    <w:lvl w:ilvl="7" w:tplc="5494205C" w:tentative="1">
      <w:start w:val="1"/>
      <w:numFmt w:val="bullet"/>
      <w:lvlText w:val="&gt;"/>
      <w:lvlJc w:val="left"/>
      <w:pPr>
        <w:tabs>
          <w:tab w:val="num" w:pos="5760"/>
        </w:tabs>
        <w:ind w:left="5760" w:hanging="360"/>
      </w:pPr>
      <w:rPr>
        <w:rFonts w:ascii=".AppleSystemUIFont" w:hAnsi=".AppleSystemUIFont" w:hint="default"/>
      </w:rPr>
    </w:lvl>
    <w:lvl w:ilvl="8" w:tplc="E2902BF6" w:tentative="1">
      <w:start w:val="1"/>
      <w:numFmt w:val="bullet"/>
      <w:lvlText w:val="&gt;"/>
      <w:lvlJc w:val="left"/>
      <w:pPr>
        <w:tabs>
          <w:tab w:val="num" w:pos="6480"/>
        </w:tabs>
        <w:ind w:left="6480" w:hanging="360"/>
      </w:pPr>
      <w:rPr>
        <w:rFonts w:ascii=".AppleSystemUIFont" w:hAnsi=".AppleSystemUIFont"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646D69"/>
    <w:multiLevelType w:val="hybridMultilevel"/>
    <w:tmpl w:val="48FA04F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874668"/>
    <w:multiLevelType w:val="hybridMultilevel"/>
    <w:tmpl w:val="239EB1C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AA5BBF"/>
    <w:multiLevelType w:val="hybridMultilevel"/>
    <w:tmpl w:val="DBE22F96"/>
    <w:lvl w:ilvl="0" w:tplc="9CCCCB90">
      <w:start w:val="1"/>
      <w:numFmt w:val="bullet"/>
      <w:lvlText w:val="•"/>
      <w:lvlJc w:val="left"/>
      <w:pPr>
        <w:ind w:left="420" w:hanging="420"/>
      </w:pPr>
      <w:rPr>
        <w:rFonts w:ascii="Arial" w:hAnsi="Arial"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A213E9"/>
    <w:multiLevelType w:val="hybridMultilevel"/>
    <w:tmpl w:val="F14C94C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6300FF"/>
    <w:multiLevelType w:val="hybridMultilevel"/>
    <w:tmpl w:val="A77AA6A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8473DE"/>
    <w:multiLevelType w:val="multilevel"/>
    <w:tmpl w:val="5984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541419"/>
    <w:multiLevelType w:val="hybridMultilevel"/>
    <w:tmpl w:val="537083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F071AC"/>
    <w:multiLevelType w:val="hybridMultilevel"/>
    <w:tmpl w:val="644E59A4"/>
    <w:lvl w:ilvl="0" w:tplc="4974458A">
      <w:start w:val="1"/>
      <w:numFmt w:val="bullet"/>
      <w:lvlText w:val="•"/>
      <w:lvlJc w:val="left"/>
      <w:pPr>
        <w:tabs>
          <w:tab w:val="num" w:pos="720"/>
        </w:tabs>
        <w:ind w:left="720" w:hanging="360"/>
      </w:pPr>
      <w:rPr>
        <w:rFonts w:ascii="Arial" w:hAnsi="Arial" w:hint="default"/>
      </w:rPr>
    </w:lvl>
    <w:lvl w:ilvl="1" w:tplc="427CE6FE">
      <w:numFmt w:val="bullet"/>
      <w:lvlText w:val="–"/>
      <w:lvlJc w:val="left"/>
      <w:pPr>
        <w:tabs>
          <w:tab w:val="num" w:pos="1440"/>
        </w:tabs>
        <w:ind w:left="1440" w:hanging="360"/>
      </w:pPr>
      <w:rPr>
        <w:rFonts w:ascii="Arial" w:hAnsi="Arial" w:hint="default"/>
      </w:rPr>
    </w:lvl>
    <w:lvl w:ilvl="2" w:tplc="27986040">
      <w:numFmt w:val="bullet"/>
      <w:lvlText w:val="•"/>
      <w:lvlJc w:val="left"/>
      <w:pPr>
        <w:tabs>
          <w:tab w:val="num" w:pos="2160"/>
        </w:tabs>
        <w:ind w:left="2160" w:hanging="360"/>
      </w:pPr>
      <w:rPr>
        <w:rFonts w:ascii="Arial" w:hAnsi="Arial" w:hint="default"/>
      </w:rPr>
    </w:lvl>
    <w:lvl w:ilvl="3" w:tplc="E15E7F8E">
      <w:numFmt w:val="bullet"/>
      <w:lvlText w:val="–"/>
      <w:lvlJc w:val="left"/>
      <w:pPr>
        <w:tabs>
          <w:tab w:val="num" w:pos="2880"/>
        </w:tabs>
        <w:ind w:left="2880" w:hanging="360"/>
      </w:pPr>
      <w:rPr>
        <w:rFonts w:ascii="Arial" w:hAnsi="Arial" w:hint="default"/>
      </w:rPr>
    </w:lvl>
    <w:lvl w:ilvl="4" w:tplc="0C102DA8">
      <w:numFmt w:val="bullet"/>
      <w:lvlText w:val="»"/>
      <w:lvlJc w:val="left"/>
      <w:pPr>
        <w:tabs>
          <w:tab w:val="num" w:pos="3600"/>
        </w:tabs>
        <w:ind w:left="3600" w:hanging="360"/>
      </w:pPr>
      <w:rPr>
        <w:rFonts w:ascii="Arial" w:hAnsi="Arial" w:hint="default"/>
      </w:rPr>
    </w:lvl>
    <w:lvl w:ilvl="5" w:tplc="0E8A47E4" w:tentative="1">
      <w:start w:val="1"/>
      <w:numFmt w:val="bullet"/>
      <w:lvlText w:val="•"/>
      <w:lvlJc w:val="left"/>
      <w:pPr>
        <w:tabs>
          <w:tab w:val="num" w:pos="4320"/>
        </w:tabs>
        <w:ind w:left="4320" w:hanging="360"/>
      </w:pPr>
      <w:rPr>
        <w:rFonts w:ascii="Arial" w:hAnsi="Arial" w:hint="default"/>
      </w:rPr>
    </w:lvl>
    <w:lvl w:ilvl="6" w:tplc="57744F44" w:tentative="1">
      <w:start w:val="1"/>
      <w:numFmt w:val="bullet"/>
      <w:lvlText w:val="•"/>
      <w:lvlJc w:val="left"/>
      <w:pPr>
        <w:tabs>
          <w:tab w:val="num" w:pos="5040"/>
        </w:tabs>
        <w:ind w:left="5040" w:hanging="360"/>
      </w:pPr>
      <w:rPr>
        <w:rFonts w:ascii="Arial" w:hAnsi="Arial" w:hint="default"/>
      </w:rPr>
    </w:lvl>
    <w:lvl w:ilvl="7" w:tplc="50764A5C" w:tentative="1">
      <w:start w:val="1"/>
      <w:numFmt w:val="bullet"/>
      <w:lvlText w:val="•"/>
      <w:lvlJc w:val="left"/>
      <w:pPr>
        <w:tabs>
          <w:tab w:val="num" w:pos="5760"/>
        </w:tabs>
        <w:ind w:left="5760" w:hanging="360"/>
      </w:pPr>
      <w:rPr>
        <w:rFonts w:ascii="Arial" w:hAnsi="Arial" w:hint="default"/>
      </w:rPr>
    </w:lvl>
    <w:lvl w:ilvl="8" w:tplc="11C077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E2795E"/>
    <w:multiLevelType w:val="hybridMultilevel"/>
    <w:tmpl w:val="BE56654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B813B4"/>
    <w:multiLevelType w:val="hybridMultilevel"/>
    <w:tmpl w:val="D834E518"/>
    <w:lvl w:ilvl="0" w:tplc="89C00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E452BD2"/>
    <w:multiLevelType w:val="hybridMultilevel"/>
    <w:tmpl w:val="8420223C"/>
    <w:lvl w:ilvl="0" w:tplc="D91C8DDE">
      <w:start w:val="1"/>
      <w:numFmt w:val="decimal"/>
      <w:lvlText w:val="%1."/>
      <w:lvlJc w:val="left"/>
      <w:pPr>
        <w:tabs>
          <w:tab w:val="num" w:pos="720"/>
        </w:tabs>
        <w:ind w:left="720" w:hanging="360"/>
      </w:pPr>
    </w:lvl>
    <w:lvl w:ilvl="1" w:tplc="F83E11CA">
      <w:start w:val="1"/>
      <w:numFmt w:val="decimal"/>
      <w:lvlText w:val="%2."/>
      <w:lvlJc w:val="left"/>
      <w:pPr>
        <w:tabs>
          <w:tab w:val="num" w:pos="1440"/>
        </w:tabs>
        <w:ind w:left="1440" w:hanging="360"/>
      </w:pPr>
    </w:lvl>
    <w:lvl w:ilvl="2" w:tplc="AF18DEBC" w:tentative="1">
      <w:start w:val="1"/>
      <w:numFmt w:val="decimal"/>
      <w:lvlText w:val="%3."/>
      <w:lvlJc w:val="left"/>
      <w:pPr>
        <w:tabs>
          <w:tab w:val="num" w:pos="2160"/>
        </w:tabs>
        <w:ind w:left="2160" w:hanging="360"/>
      </w:pPr>
    </w:lvl>
    <w:lvl w:ilvl="3" w:tplc="5D9CA36C" w:tentative="1">
      <w:start w:val="1"/>
      <w:numFmt w:val="decimal"/>
      <w:lvlText w:val="%4."/>
      <w:lvlJc w:val="left"/>
      <w:pPr>
        <w:tabs>
          <w:tab w:val="num" w:pos="2880"/>
        </w:tabs>
        <w:ind w:left="2880" w:hanging="360"/>
      </w:pPr>
    </w:lvl>
    <w:lvl w:ilvl="4" w:tplc="E22C535C" w:tentative="1">
      <w:start w:val="1"/>
      <w:numFmt w:val="decimal"/>
      <w:lvlText w:val="%5."/>
      <w:lvlJc w:val="left"/>
      <w:pPr>
        <w:tabs>
          <w:tab w:val="num" w:pos="3600"/>
        </w:tabs>
        <w:ind w:left="3600" w:hanging="360"/>
      </w:pPr>
    </w:lvl>
    <w:lvl w:ilvl="5" w:tplc="6BC26DB0" w:tentative="1">
      <w:start w:val="1"/>
      <w:numFmt w:val="decimal"/>
      <w:lvlText w:val="%6."/>
      <w:lvlJc w:val="left"/>
      <w:pPr>
        <w:tabs>
          <w:tab w:val="num" w:pos="4320"/>
        </w:tabs>
        <w:ind w:left="4320" w:hanging="360"/>
      </w:pPr>
    </w:lvl>
    <w:lvl w:ilvl="6" w:tplc="9018696E" w:tentative="1">
      <w:start w:val="1"/>
      <w:numFmt w:val="decimal"/>
      <w:lvlText w:val="%7."/>
      <w:lvlJc w:val="left"/>
      <w:pPr>
        <w:tabs>
          <w:tab w:val="num" w:pos="5040"/>
        </w:tabs>
        <w:ind w:left="5040" w:hanging="360"/>
      </w:pPr>
    </w:lvl>
    <w:lvl w:ilvl="7" w:tplc="088415A0" w:tentative="1">
      <w:start w:val="1"/>
      <w:numFmt w:val="decimal"/>
      <w:lvlText w:val="%8."/>
      <w:lvlJc w:val="left"/>
      <w:pPr>
        <w:tabs>
          <w:tab w:val="num" w:pos="5760"/>
        </w:tabs>
        <w:ind w:left="5760" w:hanging="360"/>
      </w:pPr>
    </w:lvl>
    <w:lvl w:ilvl="8" w:tplc="F6FE0852" w:tentative="1">
      <w:start w:val="1"/>
      <w:numFmt w:val="decimal"/>
      <w:lvlText w:val="%9."/>
      <w:lvlJc w:val="left"/>
      <w:pPr>
        <w:tabs>
          <w:tab w:val="num" w:pos="6480"/>
        </w:tabs>
        <w:ind w:left="6480" w:hanging="36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57D0F19"/>
    <w:multiLevelType w:val="hybridMultilevel"/>
    <w:tmpl w:val="EA78A382"/>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BE1A6546">
      <w:start w:val="1"/>
      <w:numFmt w:val="bullet"/>
      <w:lvlText w:val="-"/>
      <w:lvlJc w:val="left"/>
      <w:pPr>
        <w:ind w:left="1680" w:hanging="420"/>
      </w:pPr>
      <w:rPr>
        <w:rFonts w:ascii="Arial" w:eastAsia="Yu Mincho" w:hAnsi="Arial" w:cs="Arial"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70C4F6B"/>
    <w:multiLevelType w:val="hybridMultilevel"/>
    <w:tmpl w:val="F6FCCE8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2E258E"/>
    <w:multiLevelType w:val="hybridMultilevel"/>
    <w:tmpl w:val="563A8786"/>
    <w:lvl w:ilvl="0" w:tplc="FFFFFFFF">
      <w:start w:val="2"/>
      <w:numFmt w:val="bullet"/>
      <w:lvlText w:val="-"/>
      <w:lvlJc w:val="left"/>
      <w:pPr>
        <w:ind w:left="360" w:hanging="360"/>
      </w:pPr>
      <w:rPr>
        <w:rFonts w:ascii="Times New Roman" w:eastAsia="宋体"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26066C"/>
    <w:multiLevelType w:val="hybridMultilevel"/>
    <w:tmpl w:val="0DDE6F00"/>
    <w:lvl w:ilvl="0" w:tplc="B2FE3B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8"/>
  </w:num>
  <w:num w:numId="3">
    <w:abstractNumId w:val="21"/>
  </w:num>
  <w:num w:numId="4">
    <w:abstractNumId w:val="36"/>
  </w:num>
  <w:num w:numId="5">
    <w:abstractNumId w:val="34"/>
  </w:num>
  <w:num w:numId="6">
    <w:abstractNumId w:val="16"/>
  </w:num>
  <w:num w:numId="7">
    <w:abstractNumId w:val="24"/>
  </w:num>
  <w:num w:numId="8">
    <w:abstractNumId w:val="46"/>
  </w:num>
  <w:num w:numId="9">
    <w:abstractNumId w:val="13"/>
  </w:num>
  <w:num w:numId="10">
    <w:abstractNumId w:val="32"/>
  </w:num>
  <w:num w:numId="11">
    <w:abstractNumId w:val="29"/>
  </w:num>
  <w:num w:numId="12">
    <w:abstractNumId w:val="4"/>
  </w:num>
  <w:num w:numId="13">
    <w:abstractNumId w:val="20"/>
  </w:num>
  <w:num w:numId="14">
    <w:abstractNumId w:val="39"/>
  </w:num>
  <w:num w:numId="15">
    <w:abstractNumId w:val="42"/>
  </w:num>
  <w:num w:numId="16">
    <w:abstractNumId w:val="38"/>
  </w:num>
  <w:num w:numId="17">
    <w:abstractNumId w:val="1"/>
  </w:num>
  <w:num w:numId="18">
    <w:abstractNumId w:val="15"/>
  </w:num>
  <w:num w:numId="19">
    <w:abstractNumId w:val="33"/>
  </w:num>
  <w:num w:numId="20">
    <w:abstractNumId w:val="25"/>
  </w:num>
  <w:num w:numId="21">
    <w:abstractNumId w:val="41"/>
  </w:num>
  <w:num w:numId="22">
    <w:abstractNumId w:val="17"/>
  </w:num>
  <w:num w:numId="23">
    <w:abstractNumId w:val="3"/>
  </w:num>
  <w:num w:numId="24">
    <w:abstractNumId w:val="35"/>
  </w:num>
  <w:num w:numId="25">
    <w:abstractNumId w:val="26"/>
  </w:num>
  <w:num w:numId="26">
    <w:abstractNumId w:val="30"/>
  </w:num>
  <w:num w:numId="27">
    <w:abstractNumId w:val="10"/>
  </w:num>
  <w:num w:numId="28">
    <w:abstractNumId w:val="6"/>
  </w:num>
  <w:num w:numId="29">
    <w:abstractNumId w:val="9"/>
  </w:num>
  <w:num w:numId="30">
    <w:abstractNumId w:val="37"/>
  </w:num>
  <w:num w:numId="31">
    <w:abstractNumId w:val="19"/>
  </w:num>
  <w:num w:numId="32">
    <w:abstractNumId w:val="44"/>
  </w:num>
  <w:num w:numId="33">
    <w:abstractNumId w:val="14"/>
  </w:num>
  <w:num w:numId="34">
    <w:abstractNumId w:val="22"/>
  </w:num>
  <w:num w:numId="35">
    <w:abstractNumId w:val="27"/>
  </w:num>
  <w:num w:numId="36">
    <w:abstractNumId w:val="43"/>
  </w:num>
  <w:num w:numId="37">
    <w:abstractNumId w:val="11"/>
  </w:num>
  <w:num w:numId="38">
    <w:abstractNumId w:val="12"/>
  </w:num>
  <w:num w:numId="39">
    <w:abstractNumId w:val="0"/>
  </w:num>
  <w:num w:numId="40">
    <w:abstractNumId w:val="2"/>
  </w:num>
  <w:num w:numId="41">
    <w:abstractNumId w:val="40"/>
  </w:num>
  <w:num w:numId="42">
    <w:abstractNumId w:val="31"/>
  </w:num>
  <w:num w:numId="43">
    <w:abstractNumId w:val="45"/>
  </w:num>
  <w:num w:numId="44">
    <w:abstractNumId w:val="23"/>
  </w:num>
  <w:num w:numId="45">
    <w:abstractNumId w:val="8"/>
  </w:num>
  <w:num w:numId="46">
    <w:abstractNumId w:val="5"/>
  </w:num>
  <w:num w:numId="47">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3F"/>
    <w:rsid w:val="00000594"/>
    <w:rsid w:val="000006F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077DB"/>
    <w:rsid w:val="000116BD"/>
    <w:rsid w:val="00012217"/>
    <w:rsid w:val="000122DC"/>
    <w:rsid w:val="00013738"/>
    <w:rsid w:val="00014963"/>
    <w:rsid w:val="00014C47"/>
    <w:rsid w:val="00014E7F"/>
    <w:rsid w:val="00015181"/>
    <w:rsid w:val="00016592"/>
    <w:rsid w:val="000168DB"/>
    <w:rsid w:val="00016D17"/>
    <w:rsid w:val="00017246"/>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27D59"/>
    <w:rsid w:val="00031165"/>
    <w:rsid w:val="0003125D"/>
    <w:rsid w:val="00031383"/>
    <w:rsid w:val="000314C4"/>
    <w:rsid w:val="00031CC0"/>
    <w:rsid w:val="00032561"/>
    <w:rsid w:val="000326E2"/>
    <w:rsid w:val="00032977"/>
    <w:rsid w:val="00032B28"/>
    <w:rsid w:val="00033F47"/>
    <w:rsid w:val="00034BF3"/>
    <w:rsid w:val="00034F28"/>
    <w:rsid w:val="0003564D"/>
    <w:rsid w:val="0003595C"/>
    <w:rsid w:val="00035A0B"/>
    <w:rsid w:val="000365C5"/>
    <w:rsid w:val="000368DA"/>
    <w:rsid w:val="00037162"/>
    <w:rsid w:val="000402AB"/>
    <w:rsid w:val="00040311"/>
    <w:rsid w:val="000404E1"/>
    <w:rsid w:val="00040E40"/>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6ED1"/>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6AB"/>
    <w:rsid w:val="00056C6C"/>
    <w:rsid w:val="00056CBD"/>
    <w:rsid w:val="00056E08"/>
    <w:rsid w:val="00056EAE"/>
    <w:rsid w:val="00057673"/>
    <w:rsid w:val="00057835"/>
    <w:rsid w:val="0005790C"/>
    <w:rsid w:val="00060078"/>
    <w:rsid w:val="000601AF"/>
    <w:rsid w:val="0006025F"/>
    <w:rsid w:val="0006093B"/>
    <w:rsid w:val="00060A03"/>
    <w:rsid w:val="00060ACD"/>
    <w:rsid w:val="00060D25"/>
    <w:rsid w:val="00060DC3"/>
    <w:rsid w:val="00060F77"/>
    <w:rsid w:val="0006111E"/>
    <w:rsid w:val="00061B98"/>
    <w:rsid w:val="00062095"/>
    <w:rsid w:val="00062143"/>
    <w:rsid w:val="000623F7"/>
    <w:rsid w:val="000625A8"/>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0FF8"/>
    <w:rsid w:val="00071528"/>
    <w:rsid w:val="00071608"/>
    <w:rsid w:val="00071DB0"/>
    <w:rsid w:val="00071FAF"/>
    <w:rsid w:val="000723F1"/>
    <w:rsid w:val="000729A8"/>
    <w:rsid w:val="00072FAF"/>
    <w:rsid w:val="00073D2A"/>
    <w:rsid w:val="00073D3B"/>
    <w:rsid w:val="0007587C"/>
    <w:rsid w:val="000761DE"/>
    <w:rsid w:val="00076EC6"/>
    <w:rsid w:val="00077062"/>
    <w:rsid w:val="00077F33"/>
    <w:rsid w:val="00077F71"/>
    <w:rsid w:val="00080995"/>
    <w:rsid w:val="00080C3A"/>
    <w:rsid w:val="000811DA"/>
    <w:rsid w:val="00081655"/>
    <w:rsid w:val="00081D13"/>
    <w:rsid w:val="00082230"/>
    <w:rsid w:val="0008266E"/>
    <w:rsid w:val="000826DC"/>
    <w:rsid w:val="0008285B"/>
    <w:rsid w:val="000834ED"/>
    <w:rsid w:val="00084716"/>
    <w:rsid w:val="00084835"/>
    <w:rsid w:val="000852CC"/>
    <w:rsid w:val="00085347"/>
    <w:rsid w:val="00085AC1"/>
    <w:rsid w:val="00085B28"/>
    <w:rsid w:val="00085C18"/>
    <w:rsid w:val="00085F0F"/>
    <w:rsid w:val="000860C0"/>
    <w:rsid w:val="000866BA"/>
    <w:rsid w:val="00086BFD"/>
    <w:rsid w:val="00086C6A"/>
    <w:rsid w:val="0008727B"/>
    <w:rsid w:val="0008742B"/>
    <w:rsid w:val="00087D25"/>
    <w:rsid w:val="00087F76"/>
    <w:rsid w:val="0009044A"/>
    <w:rsid w:val="00090604"/>
    <w:rsid w:val="000906DD"/>
    <w:rsid w:val="00090C45"/>
    <w:rsid w:val="0009137A"/>
    <w:rsid w:val="00092023"/>
    <w:rsid w:val="000923CF"/>
    <w:rsid w:val="00092DFE"/>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26E"/>
    <w:rsid w:val="000A047F"/>
    <w:rsid w:val="000A0E84"/>
    <w:rsid w:val="000A16D1"/>
    <w:rsid w:val="000A1CF5"/>
    <w:rsid w:val="000A244A"/>
    <w:rsid w:val="000A2529"/>
    <w:rsid w:val="000A2B13"/>
    <w:rsid w:val="000A3647"/>
    <w:rsid w:val="000A3954"/>
    <w:rsid w:val="000A471D"/>
    <w:rsid w:val="000A476C"/>
    <w:rsid w:val="000A4DEA"/>
    <w:rsid w:val="000A4FA1"/>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3FA"/>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4D"/>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A60"/>
    <w:rsid w:val="000D2AAE"/>
    <w:rsid w:val="000D2BCF"/>
    <w:rsid w:val="000D355E"/>
    <w:rsid w:val="000D4391"/>
    <w:rsid w:val="000D4A00"/>
    <w:rsid w:val="000D4B79"/>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CEC"/>
    <w:rsid w:val="000E3DDF"/>
    <w:rsid w:val="000E3E80"/>
    <w:rsid w:val="000E413F"/>
    <w:rsid w:val="000E41EC"/>
    <w:rsid w:val="000E448F"/>
    <w:rsid w:val="000E4890"/>
    <w:rsid w:val="000E48B6"/>
    <w:rsid w:val="000E5033"/>
    <w:rsid w:val="000E51BF"/>
    <w:rsid w:val="000E6321"/>
    <w:rsid w:val="000E692C"/>
    <w:rsid w:val="000E6B6B"/>
    <w:rsid w:val="000E6BFF"/>
    <w:rsid w:val="000E72B4"/>
    <w:rsid w:val="000E79C6"/>
    <w:rsid w:val="000E7E6F"/>
    <w:rsid w:val="000E7F3B"/>
    <w:rsid w:val="000F031A"/>
    <w:rsid w:val="000F0576"/>
    <w:rsid w:val="000F0938"/>
    <w:rsid w:val="000F0F33"/>
    <w:rsid w:val="000F13CD"/>
    <w:rsid w:val="000F1845"/>
    <w:rsid w:val="000F1938"/>
    <w:rsid w:val="000F1A6C"/>
    <w:rsid w:val="000F271E"/>
    <w:rsid w:val="000F27AE"/>
    <w:rsid w:val="000F283B"/>
    <w:rsid w:val="000F2E0F"/>
    <w:rsid w:val="000F328C"/>
    <w:rsid w:val="000F3776"/>
    <w:rsid w:val="000F42D3"/>
    <w:rsid w:val="000F4489"/>
    <w:rsid w:val="000F4599"/>
    <w:rsid w:val="000F4C3C"/>
    <w:rsid w:val="000F50AE"/>
    <w:rsid w:val="000F5488"/>
    <w:rsid w:val="000F5530"/>
    <w:rsid w:val="000F554E"/>
    <w:rsid w:val="000F5B26"/>
    <w:rsid w:val="000F68F1"/>
    <w:rsid w:val="000F690C"/>
    <w:rsid w:val="000F6A99"/>
    <w:rsid w:val="000F6FE9"/>
    <w:rsid w:val="000F70E0"/>
    <w:rsid w:val="000F7382"/>
    <w:rsid w:val="001002EE"/>
    <w:rsid w:val="00100615"/>
    <w:rsid w:val="00100670"/>
    <w:rsid w:val="001008B1"/>
    <w:rsid w:val="0010092D"/>
    <w:rsid w:val="001009FC"/>
    <w:rsid w:val="00100B24"/>
    <w:rsid w:val="00100CB0"/>
    <w:rsid w:val="00100ED8"/>
    <w:rsid w:val="001012BF"/>
    <w:rsid w:val="00101760"/>
    <w:rsid w:val="0010179A"/>
    <w:rsid w:val="00101FE5"/>
    <w:rsid w:val="0010260F"/>
    <w:rsid w:val="00102875"/>
    <w:rsid w:val="00102932"/>
    <w:rsid w:val="001029D3"/>
    <w:rsid w:val="00102C85"/>
    <w:rsid w:val="00102D94"/>
    <w:rsid w:val="00103051"/>
    <w:rsid w:val="001033CA"/>
    <w:rsid w:val="00103B63"/>
    <w:rsid w:val="00103C9E"/>
    <w:rsid w:val="00103ECD"/>
    <w:rsid w:val="00104336"/>
    <w:rsid w:val="00104A73"/>
    <w:rsid w:val="00104E04"/>
    <w:rsid w:val="00105089"/>
    <w:rsid w:val="001051FC"/>
    <w:rsid w:val="0010552D"/>
    <w:rsid w:val="001059E2"/>
    <w:rsid w:val="00105D85"/>
    <w:rsid w:val="00105FAF"/>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3086"/>
    <w:rsid w:val="00123389"/>
    <w:rsid w:val="00123D56"/>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2BF"/>
    <w:rsid w:val="001309DC"/>
    <w:rsid w:val="00130DD2"/>
    <w:rsid w:val="00131381"/>
    <w:rsid w:val="0013179B"/>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5D72"/>
    <w:rsid w:val="001365A7"/>
    <w:rsid w:val="00136AFA"/>
    <w:rsid w:val="00136B9F"/>
    <w:rsid w:val="00136ECA"/>
    <w:rsid w:val="001375DC"/>
    <w:rsid w:val="00137C8F"/>
    <w:rsid w:val="0014012E"/>
    <w:rsid w:val="00140404"/>
    <w:rsid w:val="001409DE"/>
    <w:rsid w:val="00140CB7"/>
    <w:rsid w:val="00140EC0"/>
    <w:rsid w:val="00140F21"/>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51161"/>
    <w:rsid w:val="001512AD"/>
    <w:rsid w:val="00151719"/>
    <w:rsid w:val="001517E3"/>
    <w:rsid w:val="0015196F"/>
    <w:rsid w:val="00151DCD"/>
    <w:rsid w:val="001525A6"/>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350"/>
    <w:rsid w:val="00161477"/>
    <w:rsid w:val="00162BF8"/>
    <w:rsid w:val="00162C66"/>
    <w:rsid w:val="00163100"/>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0E23"/>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6074"/>
    <w:rsid w:val="00186574"/>
    <w:rsid w:val="00186790"/>
    <w:rsid w:val="0018686E"/>
    <w:rsid w:val="0018689E"/>
    <w:rsid w:val="00186918"/>
    <w:rsid w:val="00186C1D"/>
    <w:rsid w:val="00186DFE"/>
    <w:rsid w:val="00186FED"/>
    <w:rsid w:val="00187339"/>
    <w:rsid w:val="001874A3"/>
    <w:rsid w:val="001878F6"/>
    <w:rsid w:val="001879F5"/>
    <w:rsid w:val="00187B6A"/>
    <w:rsid w:val="001904A4"/>
    <w:rsid w:val="0019090B"/>
    <w:rsid w:val="00190C7D"/>
    <w:rsid w:val="001913A3"/>
    <w:rsid w:val="00191D3C"/>
    <w:rsid w:val="00191E76"/>
    <w:rsid w:val="00191E98"/>
    <w:rsid w:val="00192CF8"/>
    <w:rsid w:val="00192FD9"/>
    <w:rsid w:val="001933B6"/>
    <w:rsid w:val="00193508"/>
    <w:rsid w:val="00193752"/>
    <w:rsid w:val="00193CDF"/>
    <w:rsid w:val="00193F63"/>
    <w:rsid w:val="00193FB5"/>
    <w:rsid w:val="0019457E"/>
    <w:rsid w:val="00194C9C"/>
    <w:rsid w:val="00194EF8"/>
    <w:rsid w:val="00195111"/>
    <w:rsid w:val="001952ED"/>
    <w:rsid w:val="0019590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15A"/>
    <w:rsid w:val="001A2232"/>
    <w:rsid w:val="001A234D"/>
    <w:rsid w:val="001A2C5E"/>
    <w:rsid w:val="001A2EA7"/>
    <w:rsid w:val="001A35A6"/>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79F"/>
    <w:rsid w:val="001B4EBA"/>
    <w:rsid w:val="001B4F8C"/>
    <w:rsid w:val="001B5A5B"/>
    <w:rsid w:val="001B659B"/>
    <w:rsid w:val="001B6637"/>
    <w:rsid w:val="001B7033"/>
    <w:rsid w:val="001B708E"/>
    <w:rsid w:val="001B72DC"/>
    <w:rsid w:val="001C01CF"/>
    <w:rsid w:val="001C0D1E"/>
    <w:rsid w:val="001C1029"/>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7C7"/>
    <w:rsid w:val="001C7A02"/>
    <w:rsid w:val="001C7F77"/>
    <w:rsid w:val="001D0466"/>
    <w:rsid w:val="001D1183"/>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043"/>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2B4F"/>
    <w:rsid w:val="001F30BA"/>
    <w:rsid w:val="001F32E5"/>
    <w:rsid w:val="001F333F"/>
    <w:rsid w:val="001F341A"/>
    <w:rsid w:val="001F35D7"/>
    <w:rsid w:val="001F37D0"/>
    <w:rsid w:val="001F3909"/>
    <w:rsid w:val="001F39C3"/>
    <w:rsid w:val="001F44EB"/>
    <w:rsid w:val="001F5512"/>
    <w:rsid w:val="001F5669"/>
    <w:rsid w:val="001F5890"/>
    <w:rsid w:val="001F5C92"/>
    <w:rsid w:val="001F626C"/>
    <w:rsid w:val="001F67A4"/>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D52"/>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34CF"/>
    <w:rsid w:val="002141EF"/>
    <w:rsid w:val="0021494A"/>
    <w:rsid w:val="002151C1"/>
    <w:rsid w:val="002151E7"/>
    <w:rsid w:val="0021560C"/>
    <w:rsid w:val="00215964"/>
    <w:rsid w:val="00215988"/>
    <w:rsid w:val="00216342"/>
    <w:rsid w:val="002163CD"/>
    <w:rsid w:val="0021676B"/>
    <w:rsid w:val="00216AB4"/>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710"/>
    <w:rsid w:val="00224853"/>
    <w:rsid w:val="00224B3A"/>
    <w:rsid w:val="00224D01"/>
    <w:rsid w:val="0022506C"/>
    <w:rsid w:val="002251E9"/>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72F"/>
    <w:rsid w:val="00240ACA"/>
    <w:rsid w:val="00240F78"/>
    <w:rsid w:val="0024120C"/>
    <w:rsid w:val="002415BD"/>
    <w:rsid w:val="00241962"/>
    <w:rsid w:val="00241C6C"/>
    <w:rsid w:val="00241EC6"/>
    <w:rsid w:val="00242047"/>
    <w:rsid w:val="00243060"/>
    <w:rsid w:val="00243395"/>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3FBD"/>
    <w:rsid w:val="002542C8"/>
    <w:rsid w:val="0025430D"/>
    <w:rsid w:val="00254398"/>
    <w:rsid w:val="0025489A"/>
    <w:rsid w:val="00254B95"/>
    <w:rsid w:val="00255146"/>
    <w:rsid w:val="00255226"/>
    <w:rsid w:val="00255B5C"/>
    <w:rsid w:val="0025621E"/>
    <w:rsid w:val="00256628"/>
    <w:rsid w:val="002574CB"/>
    <w:rsid w:val="002575D7"/>
    <w:rsid w:val="002575EB"/>
    <w:rsid w:val="00257C14"/>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23D3"/>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6C1"/>
    <w:rsid w:val="00285573"/>
    <w:rsid w:val="00286024"/>
    <w:rsid w:val="00286124"/>
    <w:rsid w:val="00286207"/>
    <w:rsid w:val="00286371"/>
    <w:rsid w:val="002863D5"/>
    <w:rsid w:val="00286658"/>
    <w:rsid w:val="0028694F"/>
    <w:rsid w:val="002869CE"/>
    <w:rsid w:val="00286C1F"/>
    <w:rsid w:val="00286ED4"/>
    <w:rsid w:val="00286F8B"/>
    <w:rsid w:val="00287E0D"/>
    <w:rsid w:val="002913B8"/>
    <w:rsid w:val="002913F5"/>
    <w:rsid w:val="002915B7"/>
    <w:rsid w:val="002917B5"/>
    <w:rsid w:val="002919F6"/>
    <w:rsid w:val="00291E51"/>
    <w:rsid w:val="00292065"/>
    <w:rsid w:val="002925A6"/>
    <w:rsid w:val="002928F7"/>
    <w:rsid w:val="00292D6B"/>
    <w:rsid w:val="00292D84"/>
    <w:rsid w:val="00292DA5"/>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2B3"/>
    <w:rsid w:val="002A4C30"/>
    <w:rsid w:val="002A5890"/>
    <w:rsid w:val="002A5BEA"/>
    <w:rsid w:val="002A60DC"/>
    <w:rsid w:val="002A614B"/>
    <w:rsid w:val="002A647A"/>
    <w:rsid w:val="002A6857"/>
    <w:rsid w:val="002A6AA0"/>
    <w:rsid w:val="002A7577"/>
    <w:rsid w:val="002A75E3"/>
    <w:rsid w:val="002A77AE"/>
    <w:rsid w:val="002A7870"/>
    <w:rsid w:val="002B08A5"/>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7EA"/>
    <w:rsid w:val="002C0FBE"/>
    <w:rsid w:val="002C24C5"/>
    <w:rsid w:val="002C368D"/>
    <w:rsid w:val="002C3755"/>
    <w:rsid w:val="002C3D43"/>
    <w:rsid w:val="002C43AB"/>
    <w:rsid w:val="002C443E"/>
    <w:rsid w:val="002C497E"/>
    <w:rsid w:val="002C50C6"/>
    <w:rsid w:val="002C56D8"/>
    <w:rsid w:val="002C5771"/>
    <w:rsid w:val="002C57C8"/>
    <w:rsid w:val="002C58DA"/>
    <w:rsid w:val="002C5F6B"/>
    <w:rsid w:val="002C629E"/>
    <w:rsid w:val="002C631A"/>
    <w:rsid w:val="002C6460"/>
    <w:rsid w:val="002C6938"/>
    <w:rsid w:val="002C6AC2"/>
    <w:rsid w:val="002C6E7C"/>
    <w:rsid w:val="002C6EC6"/>
    <w:rsid w:val="002C72EA"/>
    <w:rsid w:val="002C73C7"/>
    <w:rsid w:val="002C7491"/>
    <w:rsid w:val="002C78FB"/>
    <w:rsid w:val="002D071A"/>
    <w:rsid w:val="002D0E3F"/>
    <w:rsid w:val="002D190A"/>
    <w:rsid w:val="002D27D2"/>
    <w:rsid w:val="002D292B"/>
    <w:rsid w:val="002D29F6"/>
    <w:rsid w:val="002D39A1"/>
    <w:rsid w:val="002D409B"/>
    <w:rsid w:val="002D4241"/>
    <w:rsid w:val="002D4B4A"/>
    <w:rsid w:val="002D4C48"/>
    <w:rsid w:val="002D5611"/>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011"/>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C7F"/>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4D"/>
    <w:rsid w:val="003176E4"/>
    <w:rsid w:val="00317D5B"/>
    <w:rsid w:val="0032028E"/>
    <w:rsid w:val="0032059F"/>
    <w:rsid w:val="00320823"/>
    <w:rsid w:val="003208F8"/>
    <w:rsid w:val="00320B8D"/>
    <w:rsid w:val="00320D88"/>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4E1D"/>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B95"/>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0DB"/>
    <w:rsid w:val="00353C5C"/>
    <w:rsid w:val="00353EA3"/>
    <w:rsid w:val="00354410"/>
    <w:rsid w:val="0035466A"/>
    <w:rsid w:val="003546DD"/>
    <w:rsid w:val="00354C7F"/>
    <w:rsid w:val="00354FF1"/>
    <w:rsid w:val="00355045"/>
    <w:rsid w:val="0035574C"/>
    <w:rsid w:val="00355CD5"/>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363"/>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06E5"/>
    <w:rsid w:val="00381934"/>
    <w:rsid w:val="00381A7A"/>
    <w:rsid w:val="00382108"/>
    <w:rsid w:val="00382335"/>
    <w:rsid w:val="00382D5F"/>
    <w:rsid w:val="003831B3"/>
    <w:rsid w:val="00383229"/>
    <w:rsid w:val="00383502"/>
    <w:rsid w:val="00384028"/>
    <w:rsid w:val="00384961"/>
    <w:rsid w:val="00384FAD"/>
    <w:rsid w:val="003850A9"/>
    <w:rsid w:val="003859CC"/>
    <w:rsid w:val="003865CA"/>
    <w:rsid w:val="00386D37"/>
    <w:rsid w:val="00386E67"/>
    <w:rsid w:val="00387466"/>
    <w:rsid w:val="00387A30"/>
    <w:rsid w:val="0039007C"/>
    <w:rsid w:val="003901C2"/>
    <w:rsid w:val="003903D3"/>
    <w:rsid w:val="003905AB"/>
    <w:rsid w:val="00390A5A"/>
    <w:rsid w:val="00390E9F"/>
    <w:rsid w:val="00390EAA"/>
    <w:rsid w:val="00391484"/>
    <w:rsid w:val="0039167C"/>
    <w:rsid w:val="00391A97"/>
    <w:rsid w:val="00391D6F"/>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079"/>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2AF4"/>
    <w:rsid w:val="003C2E83"/>
    <w:rsid w:val="003C32B5"/>
    <w:rsid w:val="003C3362"/>
    <w:rsid w:val="003C381B"/>
    <w:rsid w:val="003C3A38"/>
    <w:rsid w:val="003C4C8F"/>
    <w:rsid w:val="003C51BD"/>
    <w:rsid w:val="003C5C76"/>
    <w:rsid w:val="003C6879"/>
    <w:rsid w:val="003C6E8A"/>
    <w:rsid w:val="003C7296"/>
    <w:rsid w:val="003C7437"/>
    <w:rsid w:val="003D072B"/>
    <w:rsid w:val="003D0774"/>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5A"/>
    <w:rsid w:val="003E1296"/>
    <w:rsid w:val="003E1347"/>
    <w:rsid w:val="003E143D"/>
    <w:rsid w:val="003E162A"/>
    <w:rsid w:val="003E16B3"/>
    <w:rsid w:val="003E203F"/>
    <w:rsid w:val="003E268B"/>
    <w:rsid w:val="003E28C0"/>
    <w:rsid w:val="003E2C26"/>
    <w:rsid w:val="003E31A1"/>
    <w:rsid w:val="003E32DD"/>
    <w:rsid w:val="003E3882"/>
    <w:rsid w:val="003E4559"/>
    <w:rsid w:val="003E4724"/>
    <w:rsid w:val="003E57B7"/>
    <w:rsid w:val="003E5CD9"/>
    <w:rsid w:val="003E67A1"/>
    <w:rsid w:val="003E6AE8"/>
    <w:rsid w:val="003F0446"/>
    <w:rsid w:val="003F0AC4"/>
    <w:rsid w:val="003F0BF8"/>
    <w:rsid w:val="003F0DA9"/>
    <w:rsid w:val="003F1124"/>
    <w:rsid w:val="003F13F9"/>
    <w:rsid w:val="003F163F"/>
    <w:rsid w:val="003F1884"/>
    <w:rsid w:val="003F18A6"/>
    <w:rsid w:val="003F1C38"/>
    <w:rsid w:val="003F1EDB"/>
    <w:rsid w:val="003F2042"/>
    <w:rsid w:val="003F2230"/>
    <w:rsid w:val="003F25E4"/>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76C"/>
    <w:rsid w:val="00401E1C"/>
    <w:rsid w:val="00401F44"/>
    <w:rsid w:val="004029DE"/>
    <w:rsid w:val="00402FA2"/>
    <w:rsid w:val="0040356F"/>
    <w:rsid w:val="004035EE"/>
    <w:rsid w:val="004039C8"/>
    <w:rsid w:val="0040411C"/>
    <w:rsid w:val="0040416A"/>
    <w:rsid w:val="004049B0"/>
    <w:rsid w:val="00405597"/>
    <w:rsid w:val="004061CC"/>
    <w:rsid w:val="00406346"/>
    <w:rsid w:val="004065E5"/>
    <w:rsid w:val="00406625"/>
    <w:rsid w:val="004071C1"/>
    <w:rsid w:val="00407362"/>
    <w:rsid w:val="004078CB"/>
    <w:rsid w:val="00410350"/>
    <w:rsid w:val="00410ABC"/>
    <w:rsid w:val="00410B0A"/>
    <w:rsid w:val="00412062"/>
    <w:rsid w:val="00412A80"/>
    <w:rsid w:val="00412C67"/>
    <w:rsid w:val="00412F25"/>
    <w:rsid w:val="00412FD9"/>
    <w:rsid w:val="004132FF"/>
    <w:rsid w:val="004138D2"/>
    <w:rsid w:val="00413CB5"/>
    <w:rsid w:val="00414585"/>
    <w:rsid w:val="00414951"/>
    <w:rsid w:val="00414B81"/>
    <w:rsid w:val="00414C50"/>
    <w:rsid w:val="00414DE3"/>
    <w:rsid w:val="00415298"/>
    <w:rsid w:val="00415409"/>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D39"/>
    <w:rsid w:val="00424F22"/>
    <w:rsid w:val="0042525F"/>
    <w:rsid w:val="0042545F"/>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47C"/>
    <w:rsid w:val="00433A13"/>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04"/>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C8B"/>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9A2"/>
    <w:rsid w:val="00463D83"/>
    <w:rsid w:val="00463EC0"/>
    <w:rsid w:val="00464D77"/>
    <w:rsid w:val="00465602"/>
    <w:rsid w:val="0046566A"/>
    <w:rsid w:val="00465830"/>
    <w:rsid w:val="00465AE3"/>
    <w:rsid w:val="0046639A"/>
    <w:rsid w:val="004667DE"/>
    <w:rsid w:val="00466ECC"/>
    <w:rsid w:val="0046792C"/>
    <w:rsid w:val="00467BD5"/>
    <w:rsid w:val="00467F0D"/>
    <w:rsid w:val="00471190"/>
    <w:rsid w:val="004711EF"/>
    <w:rsid w:val="0047209B"/>
    <w:rsid w:val="004725C2"/>
    <w:rsid w:val="00472760"/>
    <w:rsid w:val="00472847"/>
    <w:rsid w:val="00472B07"/>
    <w:rsid w:val="00473001"/>
    <w:rsid w:val="004732B7"/>
    <w:rsid w:val="004734ED"/>
    <w:rsid w:val="00474557"/>
    <w:rsid w:val="00474D35"/>
    <w:rsid w:val="00474DEC"/>
    <w:rsid w:val="00474EA3"/>
    <w:rsid w:val="0047518D"/>
    <w:rsid w:val="0047520C"/>
    <w:rsid w:val="0047542A"/>
    <w:rsid w:val="004759A8"/>
    <w:rsid w:val="00475E71"/>
    <w:rsid w:val="0047626A"/>
    <w:rsid w:val="00476273"/>
    <w:rsid w:val="004763A1"/>
    <w:rsid w:val="0047656F"/>
    <w:rsid w:val="00477219"/>
    <w:rsid w:val="0047774B"/>
    <w:rsid w:val="0047795F"/>
    <w:rsid w:val="0048108F"/>
    <w:rsid w:val="004819D9"/>
    <w:rsid w:val="00481D2C"/>
    <w:rsid w:val="00482470"/>
    <w:rsid w:val="00482B4C"/>
    <w:rsid w:val="00482DD9"/>
    <w:rsid w:val="004835A3"/>
    <w:rsid w:val="004837D1"/>
    <w:rsid w:val="00483943"/>
    <w:rsid w:val="0048471D"/>
    <w:rsid w:val="00485C7E"/>
    <w:rsid w:val="00485F39"/>
    <w:rsid w:val="00486219"/>
    <w:rsid w:val="004862BD"/>
    <w:rsid w:val="00486394"/>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28B"/>
    <w:rsid w:val="00494FA2"/>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3487"/>
    <w:rsid w:val="004A3533"/>
    <w:rsid w:val="004A3A35"/>
    <w:rsid w:val="004A3A7D"/>
    <w:rsid w:val="004A3B9B"/>
    <w:rsid w:val="004A4D01"/>
    <w:rsid w:val="004A567A"/>
    <w:rsid w:val="004A6462"/>
    <w:rsid w:val="004A6954"/>
    <w:rsid w:val="004A6D92"/>
    <w:rsid w:val="004A6F2C"/>
    <w:rsid w:val="004A72AC"/>
    <w:rsid w:val="004A72C0"/>
    <w:rsid w:val="004A77EE"/>
    <w:rsid w:val="004A7B8A"/>
    <w:rsid w:val="004B01C9"/>
    <w:rsid w:val="004B1249"/>
    <w:rsid w:val="004B170F"/>
    <w:rsid w:val="004B1ACE"/>
    <w:rsid w:val="004B1D2E"/>
    <w:rsid w:val="004B1EEB"/>
    <w:rsid w:val="004B2078"/>
    <w:rsid w:val="004B2D6B"/>
    <w:rsid w:val="004B2D8E"/>
    <w:rsid w:val="004B2F3B"/>
    <w:rsid w:val="004B31FA"/>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189E"/>
    <w:rsid w:val="004D29AF"/>
    <w:rsid w:val="004D2A56"/>
    <w:rsid w:val="004D2B0B"/>
    <w:rsid w:val="004D38BD"/>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D7F5E"/>
    <w:rsid w:val="004E0D66"/>
    <w:rsid w:val="004E1CD3"/>
    <w:rsid w:val="004E20CF"/>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2AA0"/>
    <w:rsid w:val="004F4010"/>
    <w:rsid w:val="004F52E1"/>
    <w:rsid w:val="004F5986"/>
    <w:rsid w:val="004F622E"/>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5BA"/>
    <w:rsid w:val="0050467F"/>
    <w:rsid w:val="00504985"/>
    <w:rsid w:val="0050509E"/>
    <w:rsid w:val="0050540E"/>
    <w:rsid w:val="00505528"/>
    <w:rsid w:val="005059E2"/>
    <w:rsid w:val="00505C31"/>
    <w:rsid w:val="00505CC2"/>
    <w:rsid w:val="005060E6"/>
    <w:rsid w:val="00506149"/>
    <w:rsid w:val="00506658"/>
    <w:rsid w:val="0050706F"/>
    <w:rsid w:val="0050707A"/>
    <w:rsid w:val="0051016B"/>
    <w:rsid w:val="0051016E"/>
    <w:rsid w:val="00510B56"/>
    <w:rsid w:val="00511CD1"/>
    <w:rsid w:val="00511E3E"/>
    <w:rsid w:val="0051210E"/>
    <w:rsid w:val="0051270C"/>
    <w:rsid w:val="00512754"/>
    <w:rsid w:val="00512D6A"/>
    <w:rsid w:val="00513006"/>
    <w:rsid w:val="00513138"/>
    <w:rsid w:val="005135EA"/>
    <w:rsid w:val="0051390A"/>
    <w:rsid w:val="00513F17"/>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2C91"/>
    <w:rsid w:val="005235DC"/>
    <w:rsid w:val="00523831"/>
    <w:rsid w:val="005238A9"/>
    <w:rsid w:val="00523AE9"/>
    <w:rsid w:val="00523B71"/>
    <w:rsid w:val="0052439D"/>
    <w:rsid w:val="00524803"/>
    <w:rsid w:val="005256B0"/>
    <w:rsid w:val="00525BF0"/>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4D0"/>
    <w:rsid w:val="0053350F"/>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64F"/>
    <w:rsid w:val="00540ACA"/>
    <w:rsid w:val="0054133C"/>
    <w:rsid w:val="0054146C"/>
    <w:rsid w:val="00541579"/>
    <w:rsid w:val="00541CDF"/>
    <w:rsid w:val="00542C54"/>
    <w:rsid w:val="005433E8"/>
    <w:rsid w:val="005437BB"/>
    <w:rsid w:val="005438EC"/>
    <w:rsid w:val="00543F2E"/>
    <w:rsid w:val="0054466D"/>
    <w:rsid w:val="00545F72"/>
    <w:rsid w:val="005465FD"/>
    <w:rsid w:val="005468EB"/>
    <w:rsid w:val="00547170"/>
    <w:rsid w:val="0054729A"/>
    <w:rsid w:val="0054738D"/>
    <w:rsid w:val="0054769B"/>
    <w:rsid w:val="00547C2B"/>
    <w:rsid w:val="00547DD6"/>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3A89"/>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BAE"/>
    <w:rsid w:val="00573DD4"/>
    <w:rsid w:val="005742A1"/>
    <w:rsid w:val="00574653"/>
    <w:rsid w:val="005746C5"/>
    <w:rsid w:val="00574EE7"/>
    <w:rsid w:val="00575332"/>
    <w:rsid w:val="0057539D"/>
    <w:rsid w:val="00575F1E"/>
    <w:rsid w:val="005761F2"/>
    <w:rsid w:val="00576A85"/>
    <w:rsid w:val="00577557"/>
    <w:rsid w:val="0057763B"/>
    <w:rsid w:val="005779C1"/>
    <w:rsid w:val="00577D10"/>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49EE"/>
    <w:rsid w:val="00585213"/>
    <w:rsid w:val="0058532E"/>
    <w:rsid w:val="0058561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42A"/>
    <w:rsid w:val="00592794"/>
    <w:rsid w:val="0059288B"/>
    <w:rsid w:val="005929A6"/>
    <w:rsid w:val="00592BDF"/>
    <w:rsid w:val="00593066"/>
    <w:rsid w:val="00593087"/>
    <w:rsid w:val="00593DD1"/>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9B"/>
    <w:rsid w:val="005A3CCD"/>
    <w:rsid w:val="005A41E4"/>
    <w:rsid w:val="005A48F1"/>
    <w:rsid w:val="005A4A2A"/>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9BB"/>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FCA"/>
    <w:rsid w:val="005C107E"/>
    <w:rsid w:val="005C25A5"/>
    <w:rsid w:val="005C28E0"/>
    <w:rsid w:val="005C319B"/>
    <w:rsid w:val="005C39FB"/>
    <w:rsid w:val="005C3F6D"/>
    <w:rsid w:val="005C3FF6"/>
    <w:rsid w:val="005C4047"/>
    <w:rsid w:val="005C4077"/>
    <w:rsid w:val="005C46CC"/>
    <w:rsid w:val="005C4881"/>
    <w:rsid w:val="005C49A5"/>
    <w:rsid w:val="005C4B21"/>
    <w:rsid w:val="005C50E3"/>
    <w:rsid w:val="005C5490"/>
    <w:rsid w:val="005C54A0"/>
    <w:rsid w:val="005C571B"/>
    <w:rsid w:val="005C599B"/>
    <w:rsid w:val="005C5B5A"/>
    <w:rsid w:val="005C6001"/>
    <w:rsid w:val="005C6467"/>
    <w:rsid w:val="005C66F0"/>
    <w:rsid w:val="005C674F"/>
    <w:rsid w:val="005C6A88"/>
    <w:rsid w:val="005C6B9F"/>
    <w:rsid w:val="005C6F2C"/>
    <w:rsid w:val="005C6FCF"/>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84E"/>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0DE9"/>
    <w:rsid w:val="005E1C09"/>
    <w:rsid w:val="005E1C81"/>
    <w:rsid w:val="005E1D8E"/>
    <w:rsid w:val="005E1F43"/>
    <w:rsid w:val="005E1F6F"/>
    <w:rsid w:val="005E2050"/>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6E8"/>
    <w:rsid w:val="0060577E"/>
    <w:rsid w:val="00605A45"/>
    <w:rsid w:val="006064F7"/>
    <w:rsid w:val="00606620"/>
    <w:rsid w:val="00606976"/>
    <w:rsid w:val="00606DD8"/>
    <w:rsid w:val="00607468"/>
    <w:rsid w:val="006075A1"/>
    <w:rsid w:val="00607C77"/>
    <w:rsid w:val="00607D29"/>
    <w:rsid w:val="00607DF3"/>
    <w:rsid w:val="0061010F"/>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5D17"/>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1A0"/>
    <w:rsid w:val="006226D0"/>
    <w:rsid w:val="00622BDA"/>
    <w:rsid w:val="00622F15"/>
    <w:rsid w:val="0062322C"/>
    <w:rsid w:val="006232D5"/>
    <w:rsid w:val="00623A39"/>
    <w:rsid w:val="0062436A"/>
    <w:rsid w:val="00624DAC"/>
    <w:rsid w:val="00625F3F"/>
    <w:rsid w:val="00625F4E"/>
    <w:rsid w:val="00626AF5"/>
    <w:rsid w:val="00626C0D"/>
    <w:rsid w:val="00626D98"/>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5498"/>
    <w:rsid w:val="00635569"/>
    <w:rsid w:val="0063562E"/>
    <w:rsid w:val="0063584D"/>
    <w:rsid w:val="006358D6"/>
    <w:rsid w:val="00635D5B"/>
    <w:rsid w:val="006365C0"/>
    <w:rsid w:val="006368D3"/>
    <w:rsid w:val="00636F53"/>
    <w:rsid w:val="00637815"/>
    <w:rsid w:val="00637A9A"/>
    <w:rsid w:val="00640DFF"/>
    <w:rsid w:val="00641116"/>
    <w:rsid w:val="00641B92"/>
    <w:rsid w:val="00641BD1"/>
    <w:rsid w:val="00641F73"/>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06C"/>
    <w:rsid w:val="00661EC4"/>
    <w:rsid w:val="00662717"/>
    <w:rsid w:val="00662924"/>
    <w:rsid w:val="006630AB"/>
    <w:rsid w:val="006632B0"/>
    <w:rsid w:val="006632C9"/>
    <w:rsid w:val="006634F5"/>
    <w:rsid w:val="006635A4"/>
    <w:rsid w:val="006641C7"/>
    <w:rsid w:val="00664234"/>
    <w:rsid w:val="006642EE"/>
    <w:rsid w:val="00664591"/>
    <w:rsid w:val="00664901"/>
    <w:rsid w:val="00664F0E"/>
    <w:rsid w:val="0066514C"/>
    <w:rsid w:val="006657E8"/>
    <w:rsid w:val="00666607"/>
    <w:rsid w:val="00666869"/>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472"/>
    <w:rsid w:val="006B4C45"/>
    <w:rsid w:val="006B4F60"/>
    <w:rsid w:val="006B4FC1"/>
    <w:rsid w:val="006B53B5"/>
    <w:rsid w:val="006B59A4"/>
    <w:rsid w:val="006B5BDC"/>
    <w:rsid w:val="006B65E5"/>
    <w:rsid w:val="006B7029"/>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2E6"/>
    <w:rsid w:val="006C5695"/>
    <w:rsid w:val="006C59F3"/>
    <w:rsid w:val="006C63C2"/>
    <w:rsid w:val="006C64E5"/>
    <w:rsid w:val="006C69F1"/>
    <w:rsid w:val="006C6CE2"/>
    <w:rsid w:val="006C6E11"/>
    <w:rsid w:val="006C6E8D"/>
    <w:rsid w:val="006C7DD3"/>
    <w:rsid w:val="006C7F32"/>
    <w:rsid w:val="006D0208"/>
    <w:rsid w:val="006D0435"/>
    <w:rsid w:val="006D07F7"/>
    <w:rsid w:val="006D0C5E"/>
    <w:rsid w:val="006D0DAB"/>
    <w:rsid w:val="006D135E"/>
    <w:rsid w:val="006D1397"/>
    <w:rsid w:val="006D16AD"/>
    <w:rsid w:val="006D1AB2"/>
    <w:rsid w:val="006D1EFB"/>
    <w:rsid w:val="006D1FD3"/>
    <w:rsid w:val="006D239C"/>
    <w:rsid w:val="006D25C7"/>
    <w:rsid w:val="006D31C3"/>
    <w:rsid w:val="006D3576"/>
    <w:rsid w:val="006D35EE"/>
    <w:rsid w:val="006D3B7A"/>
    <w:rsid w:val="006D408E"/>
    <w:rsid w:val="006D4D8C"/>
    <w:rsid w:val="006D5ED9"/>
    <w:rsid w:val="006D6620"/>
    <w:rsid w:val="006D69F9"/>
    <w:rsid w:val="006D7020"/>
    <w:rsid w:val="006D7219"/>
    <w:rsid w:val="006D7C92"/>
    <w:rsid w:val="006D7E94"/>
    <w:rsid w:val="006E0080"/>
    <w:rsid w:val="006E086A"/>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48C"/>
    <w:rsid w:val="006F0C66"/>
    <w:rsid w:val="006F0E45"/>
    <w:rsid w:val="006F1317"/>
    <w:rsid w:val="006F158E"/>
    <w:rsid w:val="006F1D3C"/>
    <w:rsid w:val="006F1DA9"/>
    <w:rsid w:val="006F2110"/>
    <w:rsid w:val="006F26F7"/>
    <w:rsid w:val="006F2884"/>
    <w:rsid w:val="006F2E00"/>
    <w:rsid w:val="006F328B"/>
    <w:rsid w:val="006F3859"/>
    <w:rsid w:val="006F38FF"/>
    <w:rsid w:val="006F4204"/>
    <w:rsid w:val="006F46D5"/>
    <w:rsid w:val="006F494A"/>
    <w:rsid w:val="006F4E64"/>
    <w:rsid w:val="006F4F32"/>
    <w:rsid w:val="006F4F4C"/>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1041"/>
    <w:rsid w:val="00702B46"/>
    <w:rsid w:val="00702B8C"/>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196"/>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868"/>
    <w:rsid w:val="00713A76"/>
    <w:rsid w:val="00713B18"/>
    <w:rsid w:val="00713DBF"/>
    <w:rsid w:val="00713F0D"/>
    <w:rsid w:val="007140E1"/>
    <w:rsid w:val="0071585A"/>
    <w:rsid w:val="00715ABC"/>
    <w:rsid w:val="00715F0D"/>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6F"/>
    <w:rsid w:val="00733FC1"/>
    <w:rsid w:val="007341DF"/>
    <w:rsid w:val="0073466F"/>
    <w:rsid w:val="00734849"/>
    <w:rsid w:val="00734987"/>
    <w:rsid w:val="00734DA2"/>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4EB"/>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4E2A"/>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3B58"/>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0EAD"/>
    <w:rsid w:val="007619AD"/>
    <w:rsid w:val="00761BA6"/>
    <w:rsid w:val="00761F36"/>
    <w:rsid w:val="00762565"/>
    <w:rsid w:val="00763055"/>
    <w:rsid w:val="00763EA4"/>
    <w:rsid w:val="0076436B"/>
    <w:rsid w:val="00764778"/>
    <w:rsid w:val="00764BFD"/>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478"/>
    <w:rsid w:val="00777823"/>
    <w:rsid w:val="0078002A"/>
    <w:rsid w:val="00780611"/>
    <w:rsid w:val="00780FE0"/>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BAC"/>
    <w:rsid w:val="00787C15"/>
    <w:rsid w:val="00787E3B"/>
    <w:rsid w:val="00790E56"/>
    <w:rsid w:val="007915FE"/>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4C4"/>
    <w:rsid w:val="00796765"/>
    <w:rsid w:val="00796DD8"/>
    <w:rsid w:val="0079794B"/>
    <w:rsid w:val="00797BD6"/>
    <w:rsid w:val="00797E04"/>
    <w:rsid w:val="007A0F25"/>
    <w:rsid w:val="007A1064"/>
    <w:rsid w:val="007A14C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369"/>
    <w:rsid w:val="007A4605"/>
    <w:rsid w:val="007A4C89"/>
    <w:rsid w:val="007A4E4B"/>
    <w:rsid w:val="007A4FA3"/>
    <w:rsid w:val="007A4FFF"/>
    <w:rsid w:val="007A520C"/>
    <w:rsid w:val="007A5790"/>
    <w:rsid w:val="007A5A43"/>
    <w:rsid w:val="007A5AA9"/>
    <w:rsid w:val="007A5F6C"/>
    <w:rsid w:val="007A68BF"/>
    <w:rsid w:val="007A68CD"/>
    <w:rsid w:val="007A7007"/>
    <w:rsid w:val="007A703D"/>
    <w:rsid w:val="007A7323"/>
    <w:rsid w:val="007A7ACB"/>
    <w:rsid w:val="007A7B28"/>
    <w:rsid w:val="007A7DE6"/>
    <w:rsid w:val="007A7EF2"/>
    <w:rsid w:val="007B08E4"/>
    <w:rsid w:val="007B0B09"/>
    <w:rsid w:val="007B0BE7"/>
    <w:rsid w:val="007B11FC"/>
    <w:rsid w:val="007B1550"/>
    <w:rsid w:val="007B27C2"/>
    <w:rsid w:val="007B2D70"/>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139"/>
    <w:rsid w:val="007C2D23"/>
    <w:rsid w:val="007C2D3D"/>
    <w:rsid w:val="007C2FEB"/>
    <w:rsid w:val="007C34DA"/>
    <w:rsid w:val="007C3E71"/>
    <w:rsid w:val="007C42E1"/>
    <w:rsid w:val="007C44A3"/>
    <w:rsid w:val="007C5248"/>
    <w:rsid w:val="007C5299"/>
    <w:rsid w:val="007C53D3"/>
    <w:rsid w:val="007C5652"/>
    <w:rsid w:val="007C5C32"/>
    <w:rsid w:val="007C5CF0"/>
    <w:rsid w:val="007C61DB"/>
    <w:rsid w:val="007C6201"/>
    <w:rsid w:val="007C64B4"/>
    <w:rsid w:val="007C72C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97F"/>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D7A"/>
    <w:rsid w:val="007E6E66"/>
    <w:rsid w:val="007E7153"/>
    <w:rsid w:val="007E7858"/>
    <w:rsid w:val="007E7A18"/>
    <w:rsid w:val="007E7EA5"/>
    <w:rsid w:val="007F0264"/>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0E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4FDB"/>
    <w:rsid w:val="00805063"/>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225E"/>
    <w:rsid w:val="00812818"/>
    <w:rsid w:val="008129A4"/>
    <w:rsid w:val="00812BE4"/>
    <w:rsid w:val="00812DE0"/>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834"/>
    <w:rsid w:val="00821CD7"/>
    <w:rsid w:val="00821F41"/>
    <w:rsid w:val="00822185"/>
    <w:rsid w:val="00822881"/>
    <w:rsid w:val="00822CDE"/>
    <w:rsid w:val="00822EB2"/>
    <w:rsid w:val="008238C5"/>
    <w:rsid w:val="00824706"/>
    <w:rsid w:val="008256CA"/>
    <w:rsid w:val="008258E0"/>
    <w:rsid w:val="008263F4"/>
    <w:rsid w:val="008268BF"/>
    <w:rsid w:val="0082708C"/>
    <w:rsid w:val="00830103"/>
    <w:rsid w:val="00830236"/>
    <w:rsid w:val="008304F9"/>
    <w:rsid w:val="0083096E"/>
    <w:rsid w:val="00831007"/>
    <w:rsid w:val="0083115C"/>
    <w:rsid w:val="00831174"/>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BDD"/>
    <w:rsid w:val="00837D26"/>
    <w:rsid w:val="008401D6"/>
    <w:rsid w:val="008401D7"/>
    <w:rsid w:val="00840364"/>
    <w:rsid w:val="0084036B"/>
    <w:rsid w:val="008407FC"/>
    <w:rsid w:val="00840EC5"/>
    <w:rsid w:val="00841331"/>
    <w:rsid w:val="0084151E"/>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71B"/>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5EE"/>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391"/>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11"/>
    <w:rsid w:val="00892CBB"/>
    <w:rsid w:val="00892F81"/>
    <w:rsid w:val="0089376D"/>
    <w:rsid w:val="00893D09"/>
    <w:rsid w:val="00893DBB"/>
    <w:rsid w:val="008941C8"/>
    <w:rsid w:val="00894536"/>
    <w:rsid w:val="00894557"/>
    <w:rsid w:val="00894877"/>
    <w:rsid w:val="00894906"/>
    <w:rsid w:val="00895049"/>
    <w:rsid w:val="008954BB"/>
    <w:rsid w:val="00895702"/>
    <w:rsid w:val="0089580A"/>
    <w:rsid w:val="00895822"/>
    <w:rsid w:val="0089582D"/>
    <w:rsid w:val="0089632D"/>
    <w:rsid w:val="00896821"/>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6B3"/>
    <w:rsid w:val="008A6776"/>
    <w:rsid w:val="008A6BD4"/>
    <w:rsid w:val="008A6BDC"/>
    <w:rsid w:val="008A71CB"/>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57E"/>
    <w:rsid w:val="008B67DD"/>
    <w:rsid w:val="008B74CA"/>
    <w:rsid w:val="008B7BD9"/>
    <w:rsid w:val="008B7E59"/>
    <w:rsid w:val="008B7F5D"/>
    <w:rsid w:val="008C021E"/>
    <w:rsid w:val="008C05A9"/>
    <w:rsid w:val="008C0C67"/>
    <w:rsid w:val="008C1590"/>
    <w:rsid w:val="008C1AA5"/>
    <w:rsid w:val="008C1B28"/>
    <w:rsid w:val="008C1CEE"/>
    <w:rsid w:val="008C2737"/>
    <w:rsid w:val="008C28E2"/>
    <w:rsid w:val="008C2E13"/>
    <w:rsid w:val="008C33BB"/>
    <w:rsid w:val="008C3682"/>
    <w:rsid w:val="008C38C3"/>
    <w:rsid w:val="008C3CEE"/>
    <w:rsid w:val="008C3D9A"/>
    <w:rsid w:val="008C4057"/>
    <w:rsid w:val="008C4362"/>
    <w:rsid w:val="008C45BD"/>
    <w:rsid w:val="008C49AC"/>
    <w:rsid w:val="008C51AC"/>
    <w:rsid w:val="008C57A9"/>
    <w:rsid w:val="008C5BA2"/>
    <w:rsid w:val="008C5CD4"/>
    <w:rsid w:val="008C6314"/>
    <w:rsid w:val="008C6315"/>
    <w:rsid w:val="008C78C1"/>
    <w:rsid w:val="008C7CC9"/>
    <w:rsid w:val="008D0A2C"/>
    <w:rsid w:val="008D0CFF"/>
    <w:rsid w:val="008D0F24"/>
    <w:rsid w:val="008D169B"/>
    <w:rsid w:val="008D1F38"/>
    <w:rsid w:val="008D2279"/>
    <w:rsid w:val="008D2534"/>
    <w:rsid w:val="008D29C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2940"/>
    <w:rsid w:val="008E37F6"/>
    <w:rsid w:val="008E3A3C"/>
    <w:rsid w:val="008E3BCB"/>
    <w:rsid w:val="008E40BC"/>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897"/>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5B3"/>
    <w:rsid w:val="00906E43"/>
    <w:rsid w:val="00907FBB"/>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B35"/>
    <w:rsid w:val="00924F67"/>
    <w:rsid w:val="009250E4"/>
    <w:rsid w:val="00925225"/>
    <w:rsid w:val="009255C1"/>
    <w:rsid w:val="00925E77"/>
    <w:rsid w:val="0092635A"/>
    <w:rsid w:val="0092650D"/>
    <w:rsid w:val="009266AF"/>
    <w:rsid w:val="00926F94"/>
    <w:rsid w:val="009271B9"/>
    <w:rsid w:val="009272D5"/>
    <w:rsid w:val="00927C62"/>
    <w:rsid w:val="0093032D"/>
    <w:rsid w:val="0093035B"/>
    <w:rsid w:val="0093061F"/>
    <w:rsid w:val="00930A38"/>
    <w:rsid w:val="009317C3"/>
    <w:rsid w:val="009326D7"/>
    <w:rsid w:val="0093394F"/>
    <w:rsid w:val="009339EF"/>
    <w:rsid w:val="00933A1A"/>
    <w:rsid w:val="00933A2D"/>
    <w:rsid w:val="00933C83"/>
    <w:rsid w:val="009340D2"/>
    <w:rsid w:val="009345D4"/>
    <w:rsid w:val="0093470B"/>
    <w:rsid w:val="00934745"/>
    <w:rsid w:val="00934920"/>
    <w:rsid w:val="009349A5"/>
    <w:rsid w:val="00934A4B"/>
    <w:rsid w:val="00934BE8"/>
    <w:rsid w:val="009350AF"/>
    <w:rsid w:val="009353DB"/>
    <w:rsid w:val="009354C6"/>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73D"/>
    <w:rsid w:val="0094389F"/>
    <w:rsid w:val="00944791"/>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60C"/>
    <w:rsid w:val="0097076F"/>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425"/>
    <w:rsid w:val="00985FFE"/>
    <w:rsid w:val="009860A7"/>
    <w:rsid w:val="009865DF"/>
    <w:rsid w:val="00986C52"/>
    <w:rsid w:val="009874F7"/>
    <w:rsid w:val="00987DF6"/>
    <w:rsid w:val="009903EF"/>
    <w:rsid w:val="0099056B"/>
    <w:rsid w:val="00990574"/>
    <w:rsid w:val="009906EC"/>
    <w:rsid w:val="00990CD5"/>
    <w:rsid w:val="00990EEB"/>
    <w:rsid w:val="00990F78"/>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44F"/>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3F5E"/>
    <w:rsid w:val="009A4073"/>
    <w:rsid w:val="009A450C"/>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A92"/>
    <w:rsid w:val="009D0170"/>
    <w:rsid w:val="009D0598"/>
    <w:rsid w:val="009D05FC"/>
    <w:rsid w:val="009D09F0"/>
    <w:rsid w:val="009D0C73"/>
    <w:rsid w:val="009D118A"/>
    <w:rsid w:val="009D130E"/>
    <w:rsid w:val="009D175C"/>
    <w:rsid w:val="009D184B"/>
    <w:rsid w:val="009D2425"/>
    <w:rsid w:val="009D2961"/>
    <w:rsid w:val="009D34EF"/>
    <w:rsid w:val="009D35BD"/>
    <w:rsid w:val="009D35EC"/>
    <w:rsid w:val="009D3A23"/>
    <w:rsid w:val="009D419F"/>
    <w:rsid w:val="009D498B"/>
    <w:rsid w:val="009D4A1E"/>
    <w:rsid w:val="009D4F0C"/>
    <w:rsid w:val="009D530B"/>
    <w:rsid w:val="009D5855"/>
    <w:rsid w:val="009D58F3"/>
    <w:rsid w:val="009D5ADD"/>
    <w:rsid w:val="009D61BE"/>
    <w:rsid w:val="009D6EB2"/>
    <w:rsid w:val="009E07C4"/>
    <w:rsid w:val="009E0A9E"/>
    <w:rsid w:val="009E1031"/>
    <w:rsid w:val="009E123E"/>
    <w:rsid w:val="009E12F0"/>
    <w:rsid w:val="009E1400"/>
    <w:rsid w:val="009E1BA7"/>
    <w:rsid w:val="009E26D6"/>
    <w:rsid w:val="009E32C6"/>
    <w:rsid w:val="009E3904"/>
    <w:rsid w:val="009E3C96"/>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226"/>
    <w:rsid w:val="009F140E"/>
    <w:rsid w:val="009F2381"/>
    <w:rsid w:val="009F2759"/>
    <w:rsid w:val="009F2B99"/>
    <w:rsid w:val="009F3042"/>
    <w:rsid w:val="009F313C"/>
    <w:rsid w:val="009F4443"/>
    <w:rsid w:val="009F4E9A"/>
    <w:rsid w:val="009F4FE6"/>
    <w:rsid w:val="009F5268"/>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1D32"/>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B49"/>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6E3C"/>
    <w:rsid w:val="00A17B89"/>
    <w:rsid w:val="00A17C1E"/>
    <w:rsid w:val="00A20760"/>
    <w:rsid w:val="00A215E8"/>
    <w:rsid w:val="00A21716"/>
    <w:rsid w:val="00A217FC"/>
    <w:rsid w:val="00A21BAE"/>
    <w:rsid w:val="00A21C17"/>
    <w:rsid w:val="00A21EB3"/>
    <w:rsid w:val="00A22726"/>
    <w:rsid w:val="00A22A4B"/>
    <w:rsid w:val="00A22A97"/>
    <w:rsid w:val="00A235F9"/>
    <w:rsid w:val="00A23FE7"/>
    <w:rsid w:val="00A2481A"/>
    <w:rsid w:val="00A2482D"/>
    <w:rsid w:val="00A24840"/>
    <w:rsid w:val="00A2485B"/>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2EBB"/>
    <w:rsid w:val="00A3316F"/>
    <w:rsid w:val="00A333C2"/>
    <w:rsid w:val="00A33619"/>
    <w:rsid w:val="00A33667"/>
    <w:rsid w:val="00A33D26"/>
    <w:rsid w:val="00A3406A"/>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A1"/>
    <w:rsid w:val="00A45BD4"/>
    <w:rsid w:val="00A45DFF"/>
    <w:rsid w:val="00A46545"/>
    <w:rsid w:val="00A46652"/>
    <w:rsid w:val="00A467B1"/>
    <w:rsid w:val="00A46AC0"/>
    <w:rsid w:val="00A46C45"/>
    <w:rsid w:val="00A46CE4"/>
    <w:rsid w:val="00A4764D"/>
    <w:rsid w:val="00A47897"/>
    <w:rsid w:val="00A47926"/>
    <w:rsid w:val="00A47B1B"/>
    <w:rsid w:val="00A47BEF"/>
    <w:rsid w:val="00A47F57"/>
    <w:rsid w:val="00A50141"/>
    <w:rsid w:val="00A50373"/>
    <w:rsid w:val="00A503C5"/>
    <w:rsid w:val="00A50411"/>
    <w:rsid w:val="00A50486"/>
    <w:rsid w:val="00A50530"/>
    <w:rsid w:val="00A51194"/>
    <w:rsid w:val="00A5132A"/>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497"/>
    <w:rsid w:val="00A57C5E"/>
    <w:rsid w:val="00A57DB2"/>
    <w:rsid w:val="00A603D6"/>
    <w:rsid w:val="00A6185C"/>
    <w:rsid w:val="00A62109"/>
    <w:rsid w:val="00A62CBF"/>
    <w:rsid w:val="00A63864"/>
    <w:rsid w:val="00A63D65"/>
    <w:rsid w:val="00A64018"/>
    <w:rsid w:val="00A6492D"/>
    <w:rsid w:val="00A64A6E"/>
    <w:rsid w:val="00A64BF2"/>
    <w:rsid w:val="00A64FDA"/>
    <w:rsid w:val="00A65196"/>
    <w:rsid w:val="00A651D8"/>
    <w:rsid w:val="00A6524F"/>
    <w:rsid w:val="00A65545"/>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BCC"/>
    <w:rsid w:val="00A80CEE"/>
    <w:rsid w:val="00A81A25"/>
    <w:rsid w:val="00A81AAF"/>
    <w:rsid w:val="00A81E22"/>
    <w:rsid w:val="00A81F40"/>
    <w:rsid w:val="00A822B6"/>
    <w:rsid w:val="00A82464"/>
    <w:rsid w:val="00A82465"/>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193"/>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5AD4"/>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896"/>
    <w:rsid w:val="00AA2AA6"/>
    <w:rsid w:val="00AA2E12"/>
    <w:rsid w:val="00AA3274"/>
    <w:rsid w:val="00AA3724"/>
    <w:rsid w:val="00AA3B55"/>
    <w:rsid w:val="00AA3E68"/>
    <w:rsid w:val="00AA4F2C"/>
    <w:rsid w:val="00AA604D"/>
    <w:rsid w:val="00AA62E6"/>
    <w:rsid w:val="00AA674B"/>
    <w:rsid w:val="00AA696B"/>
    <w:rsid w:val="00AA6AA5"/>
    <w:rsid w:val="00AA6D97"/>
    <w:rsid w:val="00AA74AD"/>
    <w:rsid w:val="00AA78D0"/>
    <w:rsid w:val="00AA7CE3"/>
    <w:rsid w:val="00AA7F08"/>
    <w:rsid w:val="00AB0062"/>
    <w:rsid w:val="00AB0900"/>
    <w:rsid w:val="00AB19B6"/>
    <w:rsid w:val="00AB2139"/>
    <w:rsid w:val="00AB2257"/>
    <w:rsid w:val="00AB29E5"/>
    <w:rsid w:val="00AB29F8"/>
    <w:rsid w:val="00AB2DBE"/>
    <w:rsid w:val="00AB35CA"/>
    <w:rsid w:val="00AB3EE1"/>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B5A"/>
    <w:rsid w:val="00AC1EE2"/>
    <w:rsid w:val="00AC244D"/>
    <w:rsid w:val="00AC33AE"/>
    <w:rsid w:val="00AC33B7"/>
    <w:rsid w:val="00AC36CD"/>
    <w:rsid w:val="00AC3922"/>
    <w:rsid w:val="00AC3FD5"/>
    <w:rsid w:val="00AC4048"/>
    <w:rsid w:val="00AC42D2"/>
    <w:rsid w:val="00AC5116"/>
    <w:rsid w:val="00AC53D5"/>
    <w:rsid w:val="00AC53FB"/>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4CD"/>
    <w:rsid w:val="00AD1D7A"/>
    <w:rsid w:val="00AD2022"/>
    <w:rsid w:val="00AD2256"/>
    <w:rsid w:val="00AD26A1"/>
    <w:rsid w:val="00AD2B43"/>
    <w:rsid w:val="00AD2E43"/>
    <w:rsid w:val="00AD2FE8"/>
    <w:rsid w:val="00AD3782"/>
    <w:rsid w:val="00AD3819"/>
    <w:rsid w:val="00AD39D7"/>
    <w:rsid w:val="00AD3D3F"/>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483"/>
    <w:rsid w:val="00AE35AB"/>
    <w:rsid w:val="00AE35D2"/>
    <w:rsid w:val="00AE381B"/>
    <w:rsid w:val="00AE4218"/>
    <w:rsid w:val="00AE45ED"/>
    <w:rsid w:val="00AE485F"/>
    <w:rsid w:val="00AE49ED"/>
    <w:rsid w:val="00AE51E8"/>
    <w:rsid w:val="00AE5214"/>
    <w:rsid w:val="00AE526E"/>
    <w:rsid w:val="00AE530C"/>
    <w:rsid w:val="00AE54DC"/>
    <w:rsid w:val="00AE56FC"/>
    <w:rsid w:val="00AE62FE"/>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051"/>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5293"/>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037"/>
    <w:rsid w:val="00B41B72"/>
    <w:rsid w:val="00B41EAE"/>
    <w:rsid w:val="00B4257B"/>
    <w:rsid w:val="00B42716"/>
    <w:rsid w:val="00B42A8C"/>
    <w:rsid w:val="00B43516"/>
    <w:rsid w:val="00B43E7C"/>
    <w:rsid w:val="00B43E8E"/>
    <w:rsid w:val="00B43EC2"/>
    <w:rsid w:val="00B444DF"/>
    <w:rsid w:val="00B4459E"/>
    <w:rsid w:val="00B44B05"/>
    <w:rsid w:val="00B44B0B"/>
    <w:rsid w:val="00B4504E"/>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5195"/>
    <w:rsid w:val="00B55383"/>
    <w:rsid w:val="00B553BD"/>
    <w:rsid w:val="00B5541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67B72"/>
    <w:rsid w:val="00B710ED"/>
    <w:rsid w:val="00B71FFB"/>
    <w:rsid w:val="00B722FB"/>
    <w:rsid w:val="00B72507"/>
    <w:rsid w:val="00B727D3"/>
    <w:rsid w:val="00B72EDE"/>
    <w:rsid w:val="00B73666"/>
    <w:rsid w:val="00B7377E"/>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1B5"/>
    <w:rsid w:val="00B814EE"/>
    <w:rsid w:val="00B81941"/>
    <w:rsid w:val="00B82295"/>
    <w:rsid w:val="00B82750"/>
    <w:rsid w:val="00B82CCA"/>
    <w:rsid w:val="00B82FA8"/>
    <w:rsid w:val="00B83694"/>
    <w:rsid w:val="00B83D94"/>
    <w:rsid w:val="00B83EAB"/>
    <w:rsid w:val="00B83FF6"/>
    <w:rsid w:val="00B84179"/>
    <w:rsid w:val="00B84388"/>
    <w:rsid w:val="00B845D3"/>
    <w:rsid w:val="00B845E6"/>
    <w:rsid w:val="00B847DF"/>
    <w:rsid w:val="00B85D98"/>
    <w:rsid w:val="00B85F31"/>
    <w:rsid w:val="00B86589"/>
    <w:rsid w:val="00B86773"/>
    <w:rsid w:val="00B86CC0"/>
    <w:rsid w:val="00B86F27"/>
    <w:rsid w:val="00B87379"/>
    <w:rsid w:val="00B90000"/>
    <w:rsid w:val="00B90D3A"/>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665"/>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A06"/>
    <w:rsid w:val="00BA3D64"/>
    <w:rsid w:val="00BA3D90"/>
    <w:rsid w:val="00BA3F36"/>
    <w:rsid w:val="00BA4225"/>
    <w:rsid w:val="00BA4B51"/>
    <w:rsid w:val="00BA55DD"/>
    <w:rsid w:val="00BA5D26"/>
    <w:rsid w:val="00BA7999"/>
    <w:rsid w:val="00BA79DE"/>
    <w:rsid w:val="00BA7CBF"/>
    <w:rsid w:val="00BA7CF5"/>
    <w:rsid w:val="00BA7DCA"/>
    <w:rsid w:val="00BB0551"/>
    <w:rsid w:val="00BB0647"/>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70E7"/>
    <w:rsid w:val="00BB72C3"/>
    <w:rsid w:val="00BB762C"/>
    <w:rsid w:val="00BB7BC3"/>
    <w:rsid w:val="00BB7CEF"/>
    <w:rsid w:val="00BB7F9D"/>
    <w:rsid w:val="00BC01FD"/>
    <w:rsid w:val="00BC059F"/>
    <w:rsid w:val="00BC079F"/>
    <w:rsid w:val="00BC09A7"/>
    <w:rsid w:val="00BC1714"/>
    <w:rsid w:val="00BC1C4B"/>
    <w:rsid w:val="00BC1D81"/>
    <w:rsid w:val="00BC2189"/>
    <w:rsid w:val="00BC218D"/>
    <w:rsid w:val="00BC21EB"/>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820"/>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798"/>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840"/>
    <w:rsid w:val="00BF691D"/>
    <w:rsid w:val="00BF6B4E"/>
    <w:rsid w:val="00BF6B8A"/>
    <w:rsid w:val="00BF759D"/>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924"/>
    <w:rsid w:val="00C04B37"/>
    <w:rsid w:val="00C04FCD"/>
    <w:rsid w:val="00C052D0"/>
    <w:rsid w:val="00C05347"/>
    <w:rsid w:val="00C058F0"/>
    <w:rsid w:val="00C05B24"/>
    <w:rsid w:val="00C05F0D"/>
    <w:rsid w:val="00C06141"/>
    <w:rsid w:val="00C06694"/>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7643"/>
    <w:rsid w:val="00C179A3"/>
    <w:rsid w:val="00C17B7F"/>
    <w:rsid w:val="00C17D3A"/>
    <w:rsid w:val="00C17E97"/>
    <w:rsid w:val="00C204A9"/>
    <w:rsid w:val="00C2080B"/>
    <w:rsid w:val="00C20901"/>
    <w:rsid w:val="00C209C0"/>
    <w:rsid w:val="00C2151F"/>
    <w:rsid w:val="00C2324E"/>
    <w:rsid w:val="00C23C26"/>
    <w:rsid w:val="00C23D9A"/>
    <w:rsid w:val="00C23F5B"/>
    <w:rsid w:val="00C246A0"/>
    <w:rsid w:val="00C24C80"/>
    <w:rsid w:val="00C25730"/>
    <w:rsid w:val="00C25825"/>
    <w:rsid w:val="00C25853"/>
    <w:rsid w:val="00C2593D"/>
    <w:rsid w:val="00C25FD1"/>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042"/>
    <w:rsid w:val="00C36E28"/>
    <w:rsid w:val="00C379A7"/>
    <w:rsid w:val="00C37F40"/>
    <w:rsid w:val="00C40550"/>
    <w:rsid w:val="00C40CE0"/>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405C"/>
    <w:rsid w:val="00C542DE"/>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CC0"/>
    <w:rsid w:val="00C663DA"/>
    <w:rsid w:val="00C66E0C"/>
    <w:rsid w:val="00C67D98"/>
    <w:rsid w:val="00C70619"/>
    <w:rsid w:val="00C70A3D"/>
    <w:rsid w:val="00C70A92"/>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B69"/>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359B"/>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4C18"/>
    <w:rsid w:val="00CA4ECB"/>
    <w:rsid w:val="00CA58EE"/>
    <w:rsid w:val="00CA599D"/>
    <w:rsid w:val="00CA5B79"/>
    <w:rsid w:val="00CA5D84"/>
    <w:rsid w:val="00CA5F1E"/>
    <w:rsid w:val="00CA6ABF"/>
    <w:rsid w:val="00CA73EE"/>
    <w:rsid w:val="00CA7927"/>
    <w:rsid w:val="00CA7A66"/>
    <w:rsid w:val="00CB0102"/>
    <w:rsid w:val="00CB0156"/>
    <w:rsid w:val="00CB0608"/>
    <w:rsid w:val="00CB0CC0"/>
    <w:rsid w:val="00CB0E08"/>
    <w:rsid w:val="00CB10EF"/>
    <w:rsid w:val="00CB116F"/>
    <w:rsid w:val="00CB1902"/>
    <w:rsid w:val="00CB1F9F"/>
    <w:rsid w:val="00CB2685"/>
    <w:rsid w:val="00CB2AAC"/>
    <w:rsid w:val="00CB2CD3"/>
    <w:rsid w:val="00CB30B8"/>
    <w:rsid w:val="00CB33B8"/>
    <w:rsid w:val="00CB35C4"/>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DA5"/>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904"/>
    <w:rsid w:val="00CE5E98"/>
    <w:rsid w:val="00CE5F3A"/>
    <w:rsid w:val="00CE6082"/>
    <w:rsid w:val="00CE63B3"/>
    <w:rsid w:val="00CE66DC"/>
    <w:rsid w:val="00CE66EE"/>
    <w:rsid w:val="00CE6D23"/>
    <w:rsid w:val="00CE72B9"/>
    <w:rsid w:val="00CE752E"/>
    <w:rsid w:val="00CE7BE0"/>
    <w:rsid w:val="00CF0323"/>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1453"/>
    <w:rsid w:val="00D017E5"/>
    <w:rsid w:val="00D027FD"/>
    <w:rsid w:val="00D02ECC"/>
    <w:rsid w:val="00D03014"/>
    <w:rsid w:val="00D03243"/>
    <w:rsid w:val="00D038AE"/>
    <w:rsid w:val="00D0477B"/>
    <w:rsid w:val="00D04A14"/>
    <w:rsid w:val="00D05185"/>
    <w:rsid w:val="00D05509"/>
    <w:rsid w:val="00D05A4D"/>
    <w:rsid w:val="00D05A8B"/>
    <w:rsid w:val="00D05EAC"/>
    <w:rsid w:val="00D06165"/>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133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03C"/>
    <w:rsid w:val="00D60E93"/>
    <w:rsid w:val="00D610C6"/>
    <w:rsid w:val="00D61241"/>
    <w:rsid w:val="00D61428"/>
    <w:rsid w:val="00D61673"/>
    <w:rsid w:val="00D617EB"/>
    <w:rsid w:val="00D61DCC"/>
    <w:rsid w:val="00D623EB"/>
    <w:rsid w:val="00D628A0"/>
    <w:rsid w:val="00D62A53"/>
    <w:rsid w:val="00D632EE"/>
    <w:rsid w:val="00D63556"/>
    <w:rsid w:val="00D63FD8"/>
    <w:rsid w:val="00D6487E"/>
    <w:rsid w:val="00D64DBB"/>
    <w:rsid w:val="00D64FF8"/>
    <w:rsid w:val="00D65443"/>
    <w:rsid w:val="00D65B32"/>
    <w:rsid w:val="00D65BA6"/>
    <w:rsid w:val="00D665E5"/>
    <w:rsid w:val="00D666A6"/>
    <w:rsid w:val="00D6782A"/>
    <w:rsid w:val="00D67882"/>
    <w:rsid w:val="00D67897"/>
    <w:rsid w:val="00D67A57"/>
    <w:rsid w:val="00D70524"/>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D14"/>
    <w:rsid w:val="00D83EFE"/>
    <w:rsid w:val="00D84427"/>
    <w:rsid w:val="00D848FD"/>
    <w:rsid w:val="00D84F5D"/>
    <w:rsid w:val="00D85402"/>
    <w:rsid w:val="00D86C34"/>
    <w:rsid w:val="00D86C6C"/>
    <w:rsid w:val="00D86FD6"/>
    <w:rsid w:val="00D87BA0"/>
    <w:rsid w:val="00D914F4"/>
    <w:rsid w:val="00D9370A"/>
    <w:rsid w:val="00D948D6"/>
    <w:rsid w:val="00D9496A"/>
    <w:rsid w:val="00D94BAE"/>
    <w:rsid w:val="00D9519B"/>
    <w:rsid w:val="00D9542D"/>
    <w:rsid w:val="00D95A78"/>
    <w:rsid w:val="00D95E80"/>
    <w:rsid w:val="00D95F3A"/>
    <w:rsid w:val="00D96176"/>
    <w:rsid w:val="00D96187"/>
    <w:rsid w:val="00D96408"/>
    <w:rsid w:val="00D964DF"/>
    <w:rsid w:val="00D965E9"/>
    <w:rsid w:val="00D967AC"/>
    <w:rsid w:val="00D96828"/>
    <w:rsid w:val="00D97644"/>
    <w:rsid w:val="00D97DEE"/>
    <w:rsid w:val="00DA01F3"/>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3CE"/>
    <w:rsid w:val="00DB05B8"/>
    <w:rsid w:val="00DB0F09"/>
    <w:rsid w:val="00DB0FBB"/>
    <w:rsid w:val="00DB1120"/>
    <w:rsid w:val="00DB1352"/>
    <w:rsid w:val="00DB1617"/>
    <w:rsid w:val="00DB228B"/>
    <w:rsid w:val="00DB235B"/>
    <w:rsid w:val="00DB242E"/>
    <w:rsid w:val="00DB2EB0"/>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2AF4"/>
    <w:rsid w:val="00DC3A59"/>
    <w:rsid w:val="00DC3B67"/>
    <w:rsid w:val="00DC3BFF"/>
    <w:rsid w:val="00DC3E10"/>
    <w:rsid w:val="00DC4256"/>
    <w:rsid w:val="00DC5708"/>
    <w:rsid w:val="00DC57CD"/>
    <w:rsid w:val="00DC5C17"/>
    <w:rsid w:val="00DC714E"/>
    <w:rsid w:val="00DC718A"/>
    <w:rsid w:val="00DC74E3"/>
    <w:rsid w:val="00DC7ABD"/>
    <w:rsid w:val="00DC7BE0"/>
    <w:rsid w:val="00DD0C8D"/>
    <w:rsid w:val="00DD0CE1"/>
    <w:rsid w:val="00DD0FC5"/>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AF2"/>
    <w:rsid w:val="00DE6FAD"/>
    <w:rsid w:val="00DE745F"/>
    <w:rsid w:val="00DE79AB"/>
    <w:rsid w:val="00DE7A50"/>
    <w:rsid w:val="00DE7AEA"/>
    <w:rsid w:val="00DF0090"/>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C79"/>
    <w:rsid w:val="00DF6DBC"/>
    <w:rsid w:val="00DF6EE0"/>
    <w:rsid w:val="00DF718E"/>
    <w:rsid w:val="00DF7684"/>
    <w:rsid w:val="00DF7A78"/>
    <w:rsid w:val="00DF7DF4"/>
    <w:rsid w:val="00DF7F08"/>
    <w:rsid w:val="00E00193"/>
    <w:rsid w:val="00E012A6"/>
    <w:rsid w:val="00E0157D"/>
    <w:rsid w:val="00E0195D"/>
    <w:rsid w:val="00E01D6D"/>
    <w:rsid w:val="00E021FF"/>
    <w:rsid w:val="00E028B4"/>
    <w:rsid w:val="00E02B3D"/>
    <w:rsid w:val="00E02C24"/>
    <w:rsid w:val="00E0364D"/>
    <w:rsid w:val="00E0464B"/>
    <w:rsid w:val="00E0482E"/>
    <w:rsid w:val="00E04DB1"/>
    <w:rsid w:val="00E050B5"/>
    <w:rsid w:val="00E0608B"/>
    <w:rsid w:val="00E066C5"/>
    <w:rsid w:val="00E06805"/>
    <w:rsid w:val="00E06CD0"/>
    <w:rsid w:val="00E07B17"/>
    <w:rsid w:val="00E07C0A"/>
    <w:rsid w:val="00E07F41"/>
    <w:rsid w:val="00E10D65"/>
    <w:rsid w:val="00E11A21"/>
    <w:rsid w:val="00E12243"/>
    <w:rsid w:val="00E1246D"/>
    <w:rsid w:val="00E128A8"/>
    <w:rsid w:val="00E13657"/>
    <w:rsid w:val="00E147B3"/>
    <w:rsid w:val="00E14BE8"/>
    <w:rsid w:val="00E15421"/>
    <w:rsid w:val="00E15DAB"/>
    <w:rsid w:val="00E165AB"/>
    <w:rsid w:val="00E1719D"/>
    <w:rsid w:val="00E17333"/>
    <w:rsid w:val="00E176A4"/>
    <w:rsid w:val="00E17A5D"/>
    <w:rsid w:val="00E17EAD"/>
    <w:rsid w:val="00E17F3C"/>
    <w:rsid w:val="00E20505"/>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CE2"/>
    <w:rsid w:val="00E27D05"/>
    <w:rsid w:val="00E27F9B"/>
    <w:rsid w:val="00E300C2"/>
    <w:rsid w:val="00E3057F"/>
    <w:rsid w:val="00E30B8E"/>
    <w:rsid w:val="00E3175D"/>
    <w:rsid w:val="00E31BEB"/>
    <w:rsid w:val="00E31F45"/>
    <w:rsid w:val="00E321A7"/>
    <w:rsid w:val="00E32752"/>
    <w:rsid w:val="00E32B29"/>
    <w:rsid w:val="00E32B84"/>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7C5"/>
    <w:rsid w:val="00E464BB"/>
    <w:rsid w:val="00E46AB4"/>
    <w:rsid w:val="00E46D16"/>
    <w:rsid w:val="00E475A5"/>
    <w:rsid w:val="00E47931"/>
    <w:rsid w:val="00E479A2"/>
    <w:rsid w:val="00E47AEF"/>
    <w:rsid w:val="00E47FAF"/>
    <w:rsid w:val="00E5030A"/>
    <w:rsid w:val="00E5048D"/>
    <w:rsid w:val="00E50859"/>
    <w:rsid w:val="00E50DCB"/>
    <w:rsid w:val="00E51C99"/>
    <w:rsid w:val="00E51D3D"/>
    <w:rsid w:val="00E51E73"/>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17D"/>
    <w:rsid w:val="00E633B4"/>
    <w:rsid w:val="00E634BA"/>
    <w:rsid w:val="00E63B3F"/>
    <w:rsid w:val="00E63FB1"/>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026E"/>
    <w:rsid w:val="00E7135A"/>
    <w:rsid w:val="00E72157"/>
    <w:rsid w:val="00E72324"/>
    <w:rsid w:val="00E72D18"/>
    <w:rsid w:val="00E73464"/>
    <w:rsid w:val="00E74147"/>
    <w:rsid w:val="00E742A0"/>
    <w:rsid w:val="00E743E8"/>
    <w:rsid w:val="00E74436"/>
    <w:rsid w:val="00E74DAD"/>
    <w:rsid w:val="00E752A4"/>
    <w:rsid w:val="00E75441"/>
    <w:rsid w:val="00E756DC"/>
    <w:rsid w:val="00E75788"/>
    <w:rsid w:val="00E75931"/>
    <w:rsid w:val="00E77524"/>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37E"/>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BA2"/>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5C8"/>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36BE"/>
    <w:rsid w:val="00EB512D"/>
    <w:rsid w:val="00EB543F"/>
    <w:rsid w:val="00EB54D9"/>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4ADC"/>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4852"/>
    <w:rsid w:val="00ED5CC0"/>
    <w:rsid w:val="00ED5D50"/>
    <w:rsid w:val="00ED667A"/>
    <w:rsid w:val="00ED6F88"/>
    <w:rsid w:val="00ED707F"/>
    <w:rsid w:val="00ED7AC1"/>
    <w:rsid w:val="00EE0719"/>
    <w:rsid w:val="00EE08C0"/>
    <w:rsid w:val="00EE1136"/>
    <w:rsid w:val="00EE1697"/>
    <w:rsid w:val="00EE1770"/>
    <w:rsid w:val="00EE18C7"/>
    <w:rsid w:val="00EE2248"/>
    <w:rsid w:val="00EE30F5"/>
    <w:rsid w:val="00EE3252"/>
    <w:rsid w:val="00EE3357"/>
    <w:rsid w:val="00EE343D"/>
    <w:rsid w:val="00EE3A90"/>
    <w:rsid w:val="00EE40F7"/>
    <w:rsid w:val="00EE41FF"/>
    <w:rsid w:val="00EE47AC"/>
    <w:rsid w:val="00EE49F2"/>
    <w:rsid w:val="00EE4D65"/>
    <w:rsid w:val="00EE53D7"/>
    <w:rsid w:val="00EE57BF"/>
    <w:rsid w:val="00EE6D8B"/>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202"/>
    <w:rsid w:val="00EF63E9"/>
    <w:rsid w:val="00EF6F55"/>
    <w:rsid w:val="00EF706A"/>
    <w:rsid w:val="00EF7378"/>
    <w:rsid w:val="00EF76F3"/>
    <w:rsid w:val="00EF7A64"/>
    <w:rsid w:val="00F008C9"/>
    <w:rsid w:val="00F009D5"/>
    <w:rsid w:val="00F00C13"/>
    <w:rsid w:val="00F00E5F"/>
    <w:rsid w:val="00F0143D"/>
    <w:rsid w:val="00F01CA8"/>
    <w:rsid w:val="00F025D0"/>
    <w:rsid w:val="00F027FD"/>
    <w:rsid w:val="00F02A48"/>
    <w:rsid w:val="00F02BD3"/>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A4D"/>
    <w:rsid w:val="00F17E7C"/>
    <w:rsid w:val="00F20BDA"/>
    <w:rsid w:val="00F20DEB"/>
    <w:rsid w:val="00F21A4C"/>
    <w:rsid w:val="00F21E53"/>
    <w:rsid w:val="00F22398"/>
    <w:rsid w:val="00F2309B"/>
    <w:rsid w:val="00F23144"/>
    <w:rsid w:val="00F23729"/>
    <w:rsid w:val="00F23861"/>
    <w:rsid w:val="00F23A6F"/>
    <w:rsid w:val="00F23C2E"/>
    <w:rsid w:val="00F23E7F"/>
    <w:rsid w:val="00F23E96"/>
    <w:rsid w:val="00F23EC7"/>
    <w:rsid w:val="00F2400F"/>
    <w:rsid w:val="00F2494C"/>
    <w:rsid w:val="00F24BD9"/>
    <w:rsid w:val="00F24F1A"/>
    <w:rsid w:val="00F254CC"/>
    <w:rsid w:val="00F25691"/>
    <w:rsid w:val="00F25739"/>
    <w:rsid w:val="00F25790"/>
    <w:rsid w:val="00F25A3D"/>
    <w:rsid w:val="00F25F40"/>
    <w:rsid w:val="00F26092"/>
    <w:rsid w:val="00F26B4E"/>
    <w:rsid w:val="00F27599"/>
    <w:rsid w:val="00F27754"/>
    <w:rsid w:val="00F3029F"/>
    <w:rsid w:val="00F30385"/>
    <w:rsid w:val="00F311D3"/>
    <w:rsid w:val="00F31B19"/>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DE8"/>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E8B"/>
    <w:rsid w:val="00F56EFC"/>
    <w:rsid w:val="00F57A3D"/>
    <w:rsid w:val="00F60279"/>
    <w:rsid w:val="00F60381"/>
    <w:rsid w:val="00F6132D"/>
    <w:rsid w:val="00F61522"/>
    <w:rsid w:val="00F61E78"/>
    <w:rsid w:val="00F61EC6"/>
    <w:rsid w:val="00F62579"/>
    <w:rsid w:val="00F62EA1"/>
    <w:rsid w:val="00F634F5"/>
    <w:rsid w:val="00F65530"/>
    <w:rsid w:val="00F65BCC"/>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967"/>
    <w:rsid w:val="00F71A33"/>
    <w:rsid w:val="00F71B15"/>
    <w:rsid w:val="00F71F85"/>
    <w:rsid w:val="00F72ED2"/>
    <w:rsid w:val="00F733CC"/>
    <w:rsid w:val="00F73BAB"/>
    <w:rsid w:val="00F73C50"/>
    <w:rsid w:val="00F73FB5"/>
    <w:rsid w:val="00F744DA"/>
    <w:rsid w:val="00F74871"/>
    <w:rsid w:val="00F7579F"/>
    <w:rsid w:val="00F75AEE"/>
    <w:rsid w:val="00F761AD"/>
    <w:rsid w:val="00F764CF"/>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C2E"/>
    <w:rsid w:val="00F81F85"/>
    <w:rsid w:val="00F82180"/>
    <w:rsid w:val="00F822AE"/>
    <w:rsid w:val="00F8292B"/>
    <w:rsid w:val="00F8299C"/>
    <w:rsid w:val="00F82A05"/>
    <w:rsid w:val="00F82B94"/>
    <w:rsid w:val="00F830EC"/>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2FAD"/>
    <w:rsid w:val="00F93086"/>
    <w:rsid w:val="00F931FC"/>
    <w:rsid w:val="00F945BF"/>
    <w:rsid w:val="00F94662"/>
    <w:rsid w:val="00F94733"/>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7AD"/>
    <w:rsid w:val="00FB0E0B"/>
    <w:rsid w:val="00FB10AB"/>
    <w:rsid w:val="00FB13A7"/>
    <w:rsid w:val="00FB1435"/>
    <w:rsid w:val="00FB1EF7"/>
    <w:rsid w:val="00FB2358"/>
    <w:rsid w:val="00FB3A2B"/>
    <w:rsid w:val="00FB3A37"/>
    <w:rsid w:val="00FB3B97"/>
    <w:rsid w:val="00FB3C3D"/>
    <w:rsid w:val="00FB3F04"/>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6D04"/>
    <w:rsid w:val="00FC7009"/>
    <w:rsid w:val="00FC731C"/>
    <w:rsid w:val="00FC7650"/>
    <w:rsid w:val="00FC776A"/>
    <w:rsid w:val="00FC7AEA"/>
    <w:rsid w:val="00FC7B87"/>
    <w:rsid w:val="00FD0B34"/>
    <w:rsid w:val="00FD0F1A"/>
    <w:rsid w:val="00FD115A"/>
    <w:rsid w:val="00FD175F"/>
    <w:rsid w:val="00FD2727"/>
    <w:rsid w:val="00FD2818"/>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CF889"/>
  <w15:chartTrackingRefBased/>
  <w15:docId w15:val="{6F28CE37-3CD4-436E-A387-2D632365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C4DA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2099"/>
        <w:tab w:val="num" w:pos="397"/>
        <w:tab w:val="num" w:pos="1674"/>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3GPP Caption Table,cap1,cap2,cap11,Légende-figure,Légende-figure Char,Beschrifubg,Beschriftung Char,label,C,cap11 Char Char Char"/>
    <w:basedOn w:val="a1"/>
    <w:next w:val="a1"/>
    <w:link w:val="af"/>
    <w:uiPriority w:val="35"/>
    <w:qFormat/>
    <w:pPr>
      <w:spacing w:before="120" w:after="120"/>
    </w:pPr>
    <w:rPr>
      <w:rFonts w:eastAsia="Times New Roman"/>
      <w:b/>
      <w:lang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eastAsia="Times New Roman" w:hAnsi="Tahoma"/>
      <w:lang w:eastAsia="en-US"/>
    </w:rPr>
  </w:style>
  <w:style w:type="paragraph" w:styleId="af4">
    <w:name w:val="Plain Text"/>
    <w:basedOn w:val="a1"/>
    <w:link w:val="af5"/>
    <w:rPr>
      <w:rFonts w:ascii="Courier New" w:eastAsia="Times New Roman" w:hAnsi="Courier New"/>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rPr>
      <w:rFonts w:eastAsia="MS Mincho"/>
      <w:lang w:eastAsia="en-GB"/>
    </w:r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eastAsia="Times New Roman" w:hAnsi="Tahoma"/>
      <w:sz w:val="16"/>
      <w:szCs w:val="16"/>
      <w:lang w:eastAsia="en-US"/>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rPr>
      <w:lang w:eastAsia="en-US"/>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rPr>
      <w:rFonts w:eastAsia="Times New Roman"/>
      <w:lang w:eastAsia="en-US"/>
    </w:r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3GPP Caption Table 字符,cap1 字符,cap2 字符,cap11 字符,Légende-figure 字符,Légende-figure Char 字符,label 字符"/>
    <w:link w:val="ae"/>
    <w:uiPriority w:val="35"/>
    <w:qFormat/>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rPr>
      <w:lang w:eastAsia="en-US"/>
    </w:r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목록 단락,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440731">
      <w:bodyDiv w:val="1"/>
      <w:marLeft w:val="0"/>
      <w:marRight w:val="0"/>
      <w:marTop w:val="0"/>
      <w:marBottom w:val="0"/>
      <w:divBdr>
        <w:top w:val="none" w:sz="0" w:space="0" w:color="auto"/>
        <w:left w:val="none" w:sz="0" w:space="0" w:color="auto"/>
        <w:bottom w:val="none" w:sz="0" w:space="0" w:color="auto"/>
        <w:right w:val="none" w:sz="0" w:space="0" w:color="auto"/>
      </w:divBdr>
      <w:divsChild>
        <w:div w:id="940068471">
          <w:marLeft w:val="1166"/>
          <w:marRight w:val="0"/>
          <w:marTop w:val="72"/>
          <w:marBottom w:val="0"/>
          <w:divBdr>
            <w:top w:val="none" w:sz="0" w:space="0" w:color="auto"/>
            <w:left w:val="none" w:sz="0" w:space="0" w:color="auto"/>
            <w:bottom w:val="none" w:sz="0" w:space="0" w:color="auto"/>
            <w:right w:val="none" w:sz="0" w:space="0" w:color="auto"/>
          </w:divBdr>
        </w:div>
        <w:div w:id="1983999283">
          <w:marLeft w:val="1800"/>
          <w:marRight w:val="0"/>
          <w:marTop w:val="62"/>
          <w:marBottom w:val="0"/>
          <w:divBdr>
            <w:top w:val="none" w:sz="0" w:space="0" w:color="auto"/>
            <w:left w:val="none" w:sz="0" w:space="0" w:color="auto"/>
            <w:bottom w:val="none" w:sz="0" w:space="0" w:color="auto"/>
            <w:right w:val="none" w:sz="0" w:space="0" w:color="auto"/>
          </w:divBdr>
        </w:div>
        <w:div w:id="1939101600">
          <w:marLeft w:val="1800"/>
          <w:marRight w:val="0"/>
          <w:marTop w:val="62"/>
          <w:marBottom w:val="0"/>
          <w:divBdr>
            <w:top w:val="none" w:sz="0" w:space="0" w:color="auto"/>
            <w:left w:val="none" w:sz="0" w:space="0" w:color="auto"/>
            <w:bottom w:val="none" w:sz="0" w:space="0" w:color="auto"/>
            <w:right w:val="none" w:sz="0" w:space="0" w:color="auto"/>
          </w:divBdr>
        </w:div>
        <w:div w:id="1233195945">
          <w:marLeft w:val="2520"/>
          <w:marRight w:val="0"/>
          <w:marTop w:val="58"/>
          <w:marBottom w:val="0"/>
          <w:divBdr>
            <w:top w:val="none" w:sz="0" w:space="0" w:color="auto"/>
            <w:left w:val="none" w:sz="0" w:space="0" w:color="auto"/>
            <w:bottom w:val="none" w:sz="0" w:space="0" w:color="auto"/>
            <w:right w:val="none" w:sz="0" w:space="0" w:color="auto"/>
          </w:divBdr>
        </w:div>
        <w:div w:id="52513448">
          <w:marLeft w:val="1166"/>
          <w:marRight w:val="0"/>
          <w:marTop w:val="72"/>
          <w:marBottom w:val="0"/>
          <w:divBdr>
            <w:top w:val="none" w:sz="0" w:space="0" w:color="auto"/>
            <w:left w:val="none" w:sz="0" w:space="0" w:color="auto"/>
            <w:bottom w:val="none" w:sz="0" w:space="0" w:color="auto"/>
            <w:right w:val="none" w:sz="0" w:space="0" w:color="auto"/>
          </w:divBdr>
        </w:div>
        <w:div w:id="1544101152">
          <w:marLeft w:val="1800"/>
          <w:marRight w:val="0"/>
          <w:marTop w:val="62"/>
          <w:marBottom w:val="0"/>
          <w:divBdr>
            <w:top w:val="none" w:sz="0" w:space="0" w:color="auto"/>
            <w:left w:val="none" w:sz="0" w:space="0" w:color="auto"/>
            <w:bottom w:val="none" w:sz="0" w:space="0" w:color="auto"/>
            <w:right w:val="none" w:sz="0" w:space="0" w:color="auto"/>
          </w:divBdr>
        </w:div>
        <w:div w:id="1638222892">
          <w:marLeft w:val="1800"/>
          <w:marRight w:val="0"/>
          <w:marTop w:val="62"/>
          <w:marBottom w:val="0"/>
          <w:divBdr>
            <w:top w:val="none" w:sz="0" w:space="0" w:color="auto"/>
            <w:left w:val="none" w:sz="0" w:space="0" w:color="auto"/>
            <w:bottom w:val="none" w:sz="0" w:space="0" w:color="auto"/>
            <w:right w:val="none" w:sz="0" w:space="0" w:color="auto"/>
          </w:divBdr>
        </w:div>
        <w:div w:id="829372806">
          <w:marLeft w:val="1800"/>
          <w:marRight w:val="0"/>
          <w:marTop w:val="62"/>
          <w:marBottom w:val="0"/>
          <w:divBdr>
            <w:top w:val="none" w:sz="0" w:space="0" w:color="auto"/>
            <w:left w:val="none" w:sz="0" w:space="0" w:color="auto"/>
            <w:bottom w:val="none" w:sz="0" w:space="0" w:color="auto"/>
            <w:right w:val="none" w:sz="0" w:space="0" w:color="auto"/>
          </w:divBdr>
        </w:div>
        <w:div w:id="385226052">
          <w:marLeft w:val="1800"/>
          <w:marRight w:val="0"/>
          <w:marTop w:val="62"/>
          <w:marBottom w:val="0"/>
          <w:divBdr>
            <w:top w:val="none" w:sz="0" w:space="0" w:color="auto"/>
            <w:left w:val="none" w:sz="0" w:space="0" w:color="auto"/>
            <w:bottom w:val="none" w:sz="0" w:space="0" w:color="auto"/>
            <w:right w:val="none" w:sz="0" w:space="0" w:color="auto"/>
          </w:divBdr>
        </w:div>
        <w:div w:id="1893497309">
          <w:marLeft w:val="1166"/>
          <w:marRight w:val="0"/>
          <w:marTop w:val="72"/>
          <w:marBottom w:val="0"/>
          <w:divBdr>
            <w:top w:val="none" w:sz="0" w:space="0" w:color="auto"/>
            <w:left w:val="none" w:sz="0" w:space="0" w:color="auto"/>
            <w:bottom w:val="none" w:sz="0" w:space="0" w:color="auto"/>
            <w:right w:val="none" w:sz="0" w:space="0" w:color="auto"/>
          </w:divBdr>
        </w:div>
        <w:div w:id="103161853">
          <w:marLeft w:val="1800"/>
          <w:marRight w:val="0"/>
          <w:marTop w:val="62"/>
          <w:marBottom w:val="0"/>
          <w:divBdr>
            <w:top w:val="none" w:sz="0" w:space="0" w:color="auto"/>
            <w:left w:val="none" w:sz="0" w:space="0" w:color="auto"/>
            <w:bottom w:val="none" w:sz="0" w:space="0" w:color="auto"/>
            <w:right w:val="none" w:sz="0" w:space="0" w:color="auto"/>
          </w:divBdr>
        </w:div>
        <w:div w:id="818033123">
          <w:marLeft w:val="1800"/>
          <w:marRight w:val="0"/>
          <w:marTop w:val="62"/>
          <w:marBottom w:val="0"/>
          <w:divBdr>
            <w:top w:val="none" w:sz="0" w:space="0" w:color="auto"/>
            <w:left w:val="none" w:sz="0" w:space="0" w:color="auto"/>
            <w:bottom w:val="none" w:sz="0" w:space="0" w:color="auto"/>
            <w:right w:val="none" w:sz="0" w:space="0" w:color="auto"/>
          </w:divBdr>
        </w:div>
        <w:div w:id="629046933">
          <w:marLeft w:val="1800"/>
          <w:marRight w:val="0"/>
          <w:marTop w:val="62"/>
          <w:marBottom w:val="0"/>
          <w:divBdr>
            <w:top w:val="none" w:sz="0" w:space="0" w:color="auto"/>
            <w:left w:val="none" w:sz="0" w:space="0" w:color="auto"/>
            <w:bottom w:val="none" w:sz="0" w:space="0" w:color="auto"/>
            <w:right w:val="none" w:sz="0" w:space="0" w:color="auto"/>
          </w:divBdr>
        </w:div>
        <w:div w:id="1093277458">
          <w:marLeft w:val="1800"/>
          <w:marRight w:val="0"/>
          <w:marTop w:val="62"/>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1636353">
      <w:bodyDiv w:val="1"/>
      <w:marLeft w:val="0"/>
      <w:marRight w:val="0"/>
      <w:marTop w:val="0"/>
      <w:marBottom w:val="0"/>
      <w:divBdr>
        <w:top w:val="none" w:sz="0" w:space="0" w:color="auto"/>
        <w:left w:val="none" w:sz="0" w:space="0" w:color="auto"/>
        <w:bottom w:val="none" w:sz="0" w:space="0" w:color="auto"/>
        <w:right w:val="none" w:sz="0" w:space="0" w:color="auto"/>
      </w:divBdr>
      <w:divsChild>
        <w:div w:id="1928422670">
          <w:marLeft w:val="547"/>
          <w:marRight w:val="0"/>
          <w:marTop w:val="134"/>
          <w:marBottom w:val="0"/>
          <w:divBdr>
            <w:top w:val="none" w:sz="0" w:space="0" w:color="auto"/>
            <w:left w:val="none" w:sz="0" w:space="0" w:color="auto"/>
            <w:bottom w:val="none" w:sz="0" w:space="0" w:color="auto"/>
            <w:right w:val="none" w:sz="0" w:space="0" w:color="auto"/>
          </w:divBdr>
        </w:div>
        <w:div w:id="342784145">
          <w:marLeft w:val="1166"/>
          <w:marRight w:val="0"/>
          <w:marTop w:val="115"/>
          <w:marBottom w:val="0"/>
          <w:divBdr>
            <w:top w:val="none" w:sz="0" w:space="0" w:color="auto"/>
            <w:left w:val="none" w:sz="0" w:space="0" w:color="auto"/>
            <w:bottom w:val="none" w:sz="0" w:space="0" w:color="auto"/>
            <w:right w:val="none" w:sz="0" w:space="0" w:color="auto"/>
          </w:divBdr>
        </w:div>
        <w:div w:id="429665602">
          <w:marLeft w:val="1800"/>
          <w:marRight w:val="0"/>
          <w:marTop w:val="96"/>
          <w:marBottom w:val="0"/>
          <w:divBdr>
            <w:top w:val="none" w:sz="0" w:space="0" w:color="auto"/>
            <w:left w:val="none" w:sz="0" w:space="0" w:color="auto"/>
            <w:bottom w:val="none" w:sz="0" w:space="0" w:color="auto"/>
            <w:right w:val="none" w:sz="0" w:space="0" w:color="auto"/>
          </w:divBdr>
        </w:div>
        <w:div w:id="1066032786">
          <w:marLeft w:val="2520"/>
          <w:marRight w:val="0"/>
          <w:marTop w:val="77"/>
          <w:marBottom w:val="0"/>
          <w:divBdr>
            <w:top w:val="none" w:sz="0" w:space="0" w:color="auto"/>
            <w:left w:val="none" w:sz="0" w:space="0" w:color="auto"/>
            <w:bottom w:val="none" w:sz="0" w:space="0" w:color="auto"/>
            <w:right w:val="none" w:sz="0" w:space="0" w:color="auto"/>
          </w:divBdr>
        </w:div>
        <w:div w:id="379786751">
          <w:marLeft w:val="2520"/>
          <w:marRight w:val="0"/>
          <w:marTop w:val="77"/>
          <w:marBottom w:val="0"/>
          <w:divBdr>
            <w:top w:val="none" w:sz="0" w:space="0" w:color="auto"/>
            <w:left w:val="none" w:sz="0" w:space="0" w:color="auto"/>
            <w:bottom w:val="none" w:sz="0" w:space="0" w:color="auto"/>
            <w:right w:val="none" w:sz="0" w:space="0" w:color="auto"/>
          </w:divBdr>
        </w:div>
        <w:div w:id="915238878">
          <w:marLeft w:val="1800"/>
          <w:marRight w:val="0"/>
          <w:marTop w:val="96"/>
          <w:marBottom w:val="0"/>
          <w:divBdr>
            <w:top w:val="none" w:sz="0" w:space="0" w:color="auto"/>
            <w:left w:val="none" w:sz="0" w:space="0" w:color="auto"/>
            <w:bottom w:val="none" w:sz="0" w:space="0" w:color="auto"/>
            <w:right w:val="none" w:sz="0" w:space="0" w:color="auto"/>
          </w:divBdr>
        </w:div>
        <w:div w:id="305937360">
          <w:marLeft w:val="1800"/>
          <w:marRight w:val="0"/>
          <w:marTop w:val="96"/>
          <w:marBottom w:val="0"/>
          <w:divBdr>
            <w:top w:val="none" w:sz="0" w:space="0" w:color="auto"/>
            <w:left w:val="none" w:sz="0" w:space="0" w:color="auto"/>
            <w:bottom w:val="none" w:sz="0" w:space="0" w:color="auto"/>
            <w:right w:val="none" w:sz="0" w:space="0" w:color="auto"/>
          </w:divBdr>
        </w:div>
        <w:div w:id="1297562730">
          <w:marLeft w:val="1800"/>
          <w:marRight w:val="0"/>
          <w:marTop w:val="96"/>
          <w:marBottom w:val="0"/>
          <w:divBdr>
            <w:top w:val="none" w:sz="0" w:space="0" w:color="auto"/>
            <w:left w:val="none" w:sz="0" w:space="0" w:color="auto"/>
            <w:bottom w:val="none" w:sz="0" w:space="0" w:color="auto"/>
            <w:right w:val="none" w:sz="0" w:space="0" w:color="auto"/>
          </w:divBdr>
        </w:div>
        <w:div w:id="1023165830">
          <w:marLeft w:val="1166"/>
          <w:marRight w:val="0"/>
          <w:marTop w:val="115"/>
          <w:marBottom w:val="0"/>
          <w:divBdr>
            <w:top w:val="none" w:sz="0" w:space="0" w:color="auto"/>
            <w:left w:val="none" w:sz="0" w:space="0" w:color="auto"/>
            <w:bottom w:val="none" w:sz="0" w:space="0" w:color="auto"/>
            <w:right w:val="none" w:sz="0" w:space="0" w:color="auto"/>
          </w:divBdr>
        </w:div>
        <w:div w:id="1592663143">
          <w:marLeft w:val="1166"/>
          <w:marRight w:val="0"/>
          <w:marTop w:val="115"/>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8274920">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02116532">
      <w:bodyDiv w:val="1"/>
      <w:marLeft w:val="0"/>
      <w:marRight w:val="0"/>
      <w:marTop w:val="0"/>
      <w:marBottom w:val="0"/>
      <w:divBdr>
        <w:top w:val="none" w:sz="0" w:space="0" w:color="auto"/>
        <w:left w:val="none" w:sz="0" w:space="0" w:color="auto"/>
        <w:bottom w:val="none" w:sz="0" w:space="0" w:color="auto"/>
        <w:right w:val="none" w:sz="0" w:space="0" w:color="auto"/>
      </w:divBdr>
      <w:divsChild>
        <w:div w:id="211308170">
          <w:marLeft w:val="547"/>
          <w:marRight w:val="0"/>
          <w:marTop w:val="0"/>
          <w:marBottom w:val="0"/>
          <w:divBdr>
            <w:top w:val="none" w:sz="0" w:space="0" w:color="auto"/>
            <w:left w:val="none" w:sz="0" w:space="0" w:color="auto"/>
            <w:bottom w:val="none" w:sz="0" w:space="0" w:color="auto"/>
            <w:right w:val="none" w:sz="0" w:space="0" w:color="auto"/>
          </w:divBdr>
        </w:div>
        <w:div w:id="1443769578">
          <w:marLeft w:val="1498"/>
          <w:marRight w:val="0"/>
          <w:marTop w:val="0"/>
          <w:marBottom w:val="0"/>
          <w:divBdr>
            <w:top w:val="none" w:sz="0" w:space="0" w:color="auto"/>
            <w:left w:val="none" w:sz="0" w:space="0" w:color="auto"/>
            <w:bottom w:val="none" w:sz="0" w:space="0" w:color="auto"/>
            <w:right w:val="none" w:sz="0" w:space="0" w:color="auto"/>
          </w:divBdr>
        </w:div>
        <w:div w:id="158230476">
          <w:marLeft w:val="1498"/>
          <w:marRight w:val="0"/>
          <w:marTop w:val="0"/>
          <w:marBottom w:val="0"/>
          <w:divBdr>
            <w:top w:val="none" w:sz="0" w:space="0" w:color="auto"/>
            <w:left w:val="none" w:sz="0" w:space="0" w:color="auto"/>
            <w:bottom w:val="none" w:sz="0" w:space="0" w:color="auto"/>
            <w:right w:val="none" w:sz="0" w:space="0" w:color="auto"/>
          </w:divBdr>
        </w:div>
      </w:divsChild>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21042162">
      <w:bodyDiv w:val="1"/>
      <w:marLeft w:val="0"/>
      <w:marRight w:val="0"/>
      <w:marTop w:val="0"/>
      <w:marBottom w:val="0"/>
      <w:divBdr>
        <w:top w:val="none" w:sz="0" w:space="0" w:color="auto"/>
        <w:left w:val="none" w:sz="0" w:space="0" w:color="auto"/>
        <w:bottom w:val="none" w:sz="0" w:space="0" w:color="auto"/>
        <w:right w:val="none" w:sz="0" w:space="0" w:color="auto"/>
      </w:divBdr>
      <w:divsChild>
        <w:div w:id="1344436425">
          <w:marLeft w:val="706"/>
          <w:marRight w:val="0"/>
          <w:marTop w:val="0"/>
          <w:marBottom w:val="120"/>
          <w:divBdr>
            <w:top w:val="none" w:sz="0" w:space="0" w:color="auto"/>
            <w:left w:val="none" w:sz="0" w:space="0" w:color="auto"/>
            <w:bottom w:val="none" w:sz="0" w:space="0" w:color="auto"/>
            <w:right w:val="none" w:sz="0" w:space="0" w:color="auto"/>
          </w:divBdr>
        </w:div>
      </w:divsChild>
    </w:div>
    <w:div w:id="1537618085">
      <w:bodyDiv w:val="1"/>
      <w:marLeft w:val="0"/>
      <w:marRight w:val="0"/>
      <w:marTop w:val="0"/>
      <w:marBottom w:val="0"/>
      <w:divBdr>
        <w:top w:val="none" w:sz="0" w:space="0" w:color="auto"/>
        <w:left w:val="none" w:sz="0" w:space="0" w:color="auto"/>
        <w:bottom w:val="none" w:sz="0" w:space="0" w:color="auto"/>
        <w:right w:val="none" w:sz="0" w:space="0" w:color="auto"/>
      </w:divBdr>
      <w:divsChild>
        <w:div w:id="1215892056">
          <w:marLeft w:val="547"/>
          <w:marRight w:val="0"/>
          <w:marTop w:val="120"/>
          <w:marBottom w:val="120"/>
          <w:divBdr>
            <w:top w:val="none" w:sz="0" w:space="0" w:color="auto"/>
            <w:left w:val="none" w:sz="0" w:space="0" w:color="auto"/>
            <w:bottom w:val="none" w:sz="0" w:space="0" w:color="auto"/>
            <w:right w:val="none" w:sz="0" w:space="0" w:color="auto"/>
          </w:divBdr>
        </w:div>
        <w:div w:id="1717849332">
          <w:marLeft w:val="1166"/>
          <w:marRight w:val="0"/>
          <w:marTop w:val="120"/>
          <w:marBottom w:val="120"/>
          <w:divBdr>
            <w:top w:val="none" w:sz="0" w:space="0" w:color="auto"/>
            <w:left w:val="none" w:sz="0" w:space="0" w:color="auto"/>
            <w:bottom w:val="none" w:sz="0" w:space="0" w:color="auto"/>
            <w:right w:val="none" w:sz="0" w:space="0" w:color="auto"/>
          </w:divBdr>
        </w:div>
        <w:div w:id="706565063">
          <w:marLeft w:val="1800"/>
          <w:marRight w:val="0"/>
          <w:marTop w:val="120"/>
          <w:marBottom w:val="120"/>
          <w:divBdr>
            <w:top w:val="none" w:sz="0" w:space="0" w:color="auto"/>
            <w:left w:val="none" w:sz="0" w:space="0" w:color="auto"/>
            <w:bottom w:val="none" w:sz="0" w:space="0" w:color="auto"/>
            <w:right w:val="none" w:sz="0" w:space="0" w:color="auto"/>
          </w:divBdr>
        </w:div>
        <w:div w:id="757406305">
          <w:marLeft w:val="2520"/>
          <w:marRight w:val="0"/>
          <w:marTop w:val="120"/>
          <w:marBottom w:val="120"/>
          <w:divBdr>
            <w:top w:val="none" w:sz="0" w:space="0" w:color="auto"/>
            <w:left w:val="none" w:sz="0" w:space="0" w:color="auto"/>
            <w:bottom w:val="none" w:sz="0" w:space="0" w:color="auto"/>
            <w:right w:val="none" w:sz="0" w:space="0" w:color="auto"/>
          </w:divBdr>
        </w:div>
        <w:div w:id="1290362385">
          <w:marLeft w:val="1166"/>
          <w:marRight w:val="0"/>
          <w:marTop w:val="120"/>
          <w:marBottom w:val="120"/>
          <w:divBdr>
            <w:top w:val="none" w:sz="0" w:space="0" w:color="auto"/>
            <w:left w:val="none" w:sz="0" w:space="0" w:color="auto"/>
            <w:bottom w:val="none" w:sz="0" w:space="0" w:color="auto"/>
            <w:right w:val="none" w:sz="0" w:space="0" w:color="auto"/>
          </w:divBdr>
        </w:div>
        <w:div w:id="129638256">
          <w:marLeft w:val="1800"/>
          <w:marRight w:val="0"/>
          <w:marTop w:val="120"/>
          <w:marBottom w:val="120"/>
          <w:divBdr>
            <w:top w:val="none" w:sz="0" w:space="0" w:color="auto"/>
            <w:left w:val="none" w:sz="0" w:space="0" w:color="auto"/>
            <w:bottom w:val="none" w:sz="0" w:space="0" w:color="auto"/>
            <w:right w:val="none" w:sz="0" w:space="0" w:color="auto"/>
          </w:divBdr>
        </w:div>
        <w:div w:id="1700857906">
          <w:marLeft w:val="2520"/>
          <w:marRight w:val="0"/>
          <w:marTop w:val="120"/>
          <w:marBottom w:val="120"/>
          <w:divBdr>
            <w:top w:val="none" w:sz="0" w:space="0" w:color="auto"/>
            <w:left w:val="none" w:sz="0" w:space="0" w:color="auto"/>
            <w:bottom w:val="none" w:sz="0" w:space="0" w:color="auto"/>
            <w:right w:val="none" w:sz="0" w:space="0" w:color="auto"/>
          </w:divBdr>
        </w:div>
        <w:div w:id="565576845">
          <w:marLeft w:val="1166"/>
          <w:marRight w:val="0"/>
          <w:marTop w:val="120"/>
          <w:marBottom w:val="120"/>
          <w:divBdr>
            <w:top w:val="none" w:sz="0" w:space="0" w:color="auto"/>
            <w:left w:val="none" w:sz="0" w:space="0" w:color="auto"/>
            <w:bottom w:val="none" w:sz="0" w:space="0" w:color="auto"/>
            <w:right w:val="none" w:sz="0" w:space="0" w:color="auto"/>
          </w:divBdr>
        </w:div>
        <w:div w:id="901404065">
          <w:marLeft w:val="1800"/>
          <w:marRight w:val="0"/>
          <w:marTop w:val="120"/>
          <w:marBottom w:val="120"/>
          <w:divBdr>
            <w:top w:val="none" w:sz="0" w:space="0" w:color="auto"/>
            <w:left w:val="none" w:sz="0" w:space="0" w:color="auto"/>
            <w:bottom w:val="none" w:sz="0" w:space="0" w:color="auto"/>
            <w:right w:val="none" w:sz="0" w:space="0" w:color="auto"/>
          </w:divBdr>
        </w:div>
        <w:div w:id="1799448053">
          <w:marLeft w:val="1800"/>
          <w:marRight w:val="0"/>
          <w:marTop w:val="120"/>
          <w:marBottom w:val="120"/>
          <w:divBdr>
            <w:top w:val="none" w:sz="0" w:space="0" w:color="auto"/>
            <w:left w:val="none" w:sz="0" w:space="0" w:color="auto"/>
            <w:bottom w:val="none" w:sz="0" w:space="0" w:color="auto"/>
            <w:right w:val="none" w:sz="0" w:space="0" w:color="auto"/>
          </w:divBdr>
        </w:div>
        <w:div w:id="2081248204">
          <w:marLeft w:val="2520"/>
          <w:marRight w:val="0"/>
          <w:marTop w:val="120"/>
          <w:marBottom w:val="120"/>
          <w:divBdr>
            <w:top w:val="none" w:sz="0" w:space="0" w:color="auto"/>
            <w:left w:val="none" w:sz="0" w:space="0" w:color="auto"/>
            <w:bottom w:val="none" w:sz="0" w:space="0" w:color="auto"/>
            <w:right w:val="none" w:sz="0" w:space="0" w:color="auto"/>
          </w:divBdr>
        </w:div>
        <w:div w:id="1218928694">
          <w:marLeft w:val="3240"/>
          <w:marRight w:val="0"/>
          <w:marTop w:val="120"/>
          <w:marBottom w:val="120"/>
          <w:divBdr>
            <w:top w:val="none" w:sz="0" w:space="0" w:color="auto"/>
            <w:left w:val="none" w:sz="0" w:space="0" w:color="auto"/>
            <w:bottom w:val="none" w:sz="0" w:space="0" w:color="auto"/>
            <w:right w:val="none" w:sz="0" w:space="0" w:color="auto"/>
          </w:divBdr>
        </w:div>
        <w:div w:id="1426608076">
          <w:marLeft w:val="1166"/>
          <w:marRight w:val="0"/>
          <w:marTop w:val="120"/>
          <w:marBottom w:val="12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4863541">
      <w:bodyDiv w:val="1"/>
      <w:marLeft w:val="0"/>
      <w:marRight w:val="0"/>
      <w:marTop w:val="0"/>
      <w:marBottom w:val="0"/>
      <w:divBdr>
        <w:top w:val="none" w:sz="0" w:space="0" w:color="auto"/>
        <w:left w:val="none" w:sz="0" w:space="0" w:color="auto"/>
        <w:bottom w:val="none" w:sz="0" w:space="0" w:color="auto"/>
        <w:right w:val="none" w:sz="0" w:space="0" w:color="auto"/>
      </w:divBdr>
      <w:divsChild>
        <w:div w:id="553856799">
          <w:marLeft w:val="547"/>
          <w:marRight w:val="0"/>
          <w:marTop w:val="120"/>
          <w:marBottom w:val="120"/>
          <w:divBdr>
            <w:top w:val="none" w:sz="0" w:space="0" w:color="auto"/>
            <w:left w:val="none" w:sz="0" w:space="0" w:color="auto"/>
            <w:bottom w:val="none" w:sz="0" w:space="0" w:color="auto"/>
            <w:right w:val="none" w:sz="0" w:space="0" w:color="auto"/>
          </w:divBdr>
        </w:div>
        <w:div w:id="1365710785">
          <w:marLeft w:val="1166"/>
          <w:marRight w:val="0"/>
          <w:marTop w:val="120"/>
          <w:marBottom w:val="120"/>
          <w:divBdr>
            <w:top w:val="none" w:sz="0" w:space="0" w:color="auto"/>
            <w:left w:val="none" w:sz="0" w:space="0" w:color="auto"/>
            <w:bottom w:val="none" w:sz="0" w:space="0" w:color="auto"/>
            <w:right w:val="none" w:sz="0" w:space="0" w:color="auto"/>
          </w:divBdr>
        </w:div>
        <w:div w:id="831726334">
          <w:marLeft w:val="1800"/>
          <w:marRight w:val="0"/>
          <w:marTop w:val="120"/>
          <w:marBottom w:val="120"/>
          <w:divBdr>
            <w:top w:val="none" w:sz="0" w:space="0" w:color="auto"/>
            <w:left w:val="none" w:sz="0" w:space="0" w:color="auto"/>
            <w:bottom w:val="none" w:sz="0" w:space="0" w:color="auto"/>
            <w:right w:val="none" w:sz="0" w:space="0" w:color="auto"/>
          </w:divBdr>
        </w:div>
        <w:div w:id="109053282">
          <w:marLeft w:val="2520"/>
          <w:marRight w:val="0"/>
          <w:marTop w:val="120"/>
          <w:marBottom w:val="120"/>
          <w:divBdr>
            <w:top w:val="none" w:sz="0" w:space="0" w:color="auto"/>
            <w:left w:val="none" w:sz="0" w:space="0" w:color="auto"/>
            <w:bottom w:val="none" w:sz="0" w:space="0" w:color="auto"/>
            <w:right w:val="none" w:sz="0" w:space="0" w:color="auto"/>
          </w:divBdr>
        </w:div>
        <w:div w:id="1694451534">
          <w:marLeft w:val="1166"/>
          <w:marRight w:val="0"/>
          <w:marTop w:val="120"/>
          <w:marBottom w:val="120"/>
          <w:divBdr>
            <w:top w:val="none" w:sz="0" w:space="0" w:color="auto"/>
            <w:left w:val="none" w:sz="0" w:space="0" w:color="auto"/>
            <w:bottom w:val="none" w:sz="0" w:space="0" w:color="auto"/>
            <w:right w:val="none" w:sz="0" w:space="0" w:color="auto"/>
          </w:divBdr>
        </w:div>
        <w:div w:id="103766197">
          <w:marLeft w:val="1800"/>
          <w:marRight w:val="0"/>
          <w:marTop w:val="120"/>
          <w:marBottom w:val="120"/>
          <w:divBdr>
            <w:top w:val="none" w:sz="0" w:space="0" w:color="auto"/>
            <w:left w:val="none" w:sz="0" w:space="0" w:color="auto"/>
            <w:bottom w:val="none" w:sz="0" w:space="0" w:color="auto"/>
            <w:right w:val="none" w:sz="0" w:space="0" w:color="auto"/>
          </w:divBdr>
        </w:div>
        <w:div w:id="1693072739">
          <w:marLeft w:val="2520"/>
          <w:marRight w:val="0"/>
          <w:marTop w:val="120"/>
          <w:marBottom w:val="120"/>
          <w:divBdr>
            <w:top w:val="none" w:sz="0" w:space="0" w:color="auto"/>
            <w:left w:val="none" w:sz="0" w:space="0" w:color="auto"/>
            <w:bottom w:val="none" w:sz="0" w:space="0" w:color="auto"/>
            <w:right w:val="none" w:sz="0" w:space="0" w:color="auto"/>
          </w:divBdr>
        </w:div>
        <w:div w:id="487552550">
          <w:marLeft w:val="1166"/>
          <w:marRight w:val="0"/>
          <w:marTop w:val="120"/>
          <w:marBottom w:val="120"/>
          <w:divBdr>
            <w:top w:val="none" w:sz="0" w:space="0" w:color="auto"/>
            <w:left w:val="none" w:sz="0" w:space="0" w:color="auto"/>
            <w:bottom w:val="none" w:sz="0" w:space="0" w:color="auto"/>
            <w:right w:val="none" w:sz="0" w:space="0" w:color="auto"/>
          </w:divBdr>
        </w:div>
        <w:div w:id="540435490">
          <w:marLeft w:val="1800"/>
          <w:marRight w:val="0"/>
          <w:marTop w:val="120"/>
          <w:marBottom w:val="120"/>
          <w:divBdr>
            <w:top w:val="none" w:sz="0" w:space="0" w:color="auto"/>
            <w:left w:val="none" w:sz="0" w:space="0" w:color="auto"/>
            <w:bottom w:val="none" w:sz="0" w:space="0" w:color="auto"/>
            <w:right w:val="none" w:sz="0" w:space="0" w:color="auto"/>
          </w:divBdr>
        </w:div>
        <w:div w:id="273753137">
          <w:marLeft w:val="1800"/>
          <w:marRight w:val="0"/>
          <w:marTop w:val="120"/>
          <w:marBottom w:val="120"/>
          <w:divBdr>
            <w:top w:val="none" w:sz="0" w:space="0" w:color="auto"/>
            <w:left w:val="none" w:sz="0" w:space="0" w:color="auto"/>
            <w:bottom w:val="none" w:sz="0" w:space="0" w:color="auto"/>
            <w:right w:val="none" w:sz="0" w:space="0" w:color="auto"/>
          </w:divBdr>
        </w:div>
        <w:div w:id="398216311">
          <w:marLeft w:val="2520"/>
          <w:marRight w:val="0"/>
          <w:marTop w:val="120"/>
          <w:marBottom w:val="120"/>
          <w:divBdr>
            <w:top w:val="none" w:sz="0" w:space="0" w:color="auto"/>
            <w:left w:val="none" w:sz="0" w:space="0" w:color="auto"/>
            <w:bottom w:val="none" w:sz="0" w:space="0" w:color="auto"/>
            <w:right w:val="none" w:sz="0" w:space="0" w:color="auto"/>
          </w:divBdr>
        </w:div>
        <w:div w:id="943070887">
          <w:marLeft w:val="3240"/>
          <w:marRight w:val="0"/>
          <w:marTop w:val="120"/>
          <w:marBottom w:val="120"/>
          <w:divBdr>
            <w:top w:val="none" w:sz="0" w:space="0" w:color="auto"/>
            <w:left w:val="none" w:sz="0" w:space="0" w:color="auto"/>
            <w:bottom w:val="none" w:sz="0" w:space="0" w:color="auto"/>
            <w:right w:val="none" w:sz="0" w:space="0" w:color="auto"/>
          </w:divBdr>
        </w:div>
        <w:div w:id="153616741">
          <w:marLeft w:val="1166"/>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AA711-BCFA-4223-A91A-4D7FEFD3F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1529</Words>
  <Characters>8719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2</cp:revision>
  <cp:lastPrinted>2010-01-07T02:23:00Z</cp:lastPrinted>
  <dcterms:created xsi:type="dcterms:W3CDTF">2025-05-09T08:21:00Z</dcterms:created>
  <dcterms:modified xsi:type="dcterms:W3CDTF">2025-05-09T08:21:00Z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(3)wh/FxgOoa+DVPF9UkzbnE6NkQdjc89EOQylIlMwK1PYxiRoDKs6y1O6jCq8+QrtwEeWWqXs9_x000d_
zm5KAa/C9F75NYReDyLD4t3Ei2i7dlABUkYgiSkgmj1t7obtaMT4QhCCE4gz89tKDN77ttNv_x000d_
1X4ZHbu3PES3hYnHXrsTfrAWPYe7CX1UNa7l0YQ/i7wXr0hElol2iDy0NWbIuFB8srx/7MvN_x000d_
8+1jofhu5lQMQu/24f</vt:lpwstr>
  </property>
  <property fmtid="{D5CDD505-2E9C-101B-9397-08002B2CF9AE}" pid="15" name="_2015_ms_pID_725343_00">
    <vt:lpwstr>_2015_ms_pID_725343</vt:lpwstr>
  </property>
  <property fmtid="{D5CDD505-2E9C-101B-9397-08002B2CF9AE}" pid="16" name="_2015_ms_pID_7253431">
    <vt:lpwstr>U/lHzIEFxnYdwp1aa4C4Ds5UyUyJavg4d6IEKC3eA8J3/9mPEcyXn3_x000d_
UyfH25ancFsUdbUgUFJZb92X+qy9AIU55uVlJ9JBsLDVHmelpLcXp8iGwNzz/IIM2Y8BJhDc_x000d_
BKC5CrDnn/YunriEfLUW8nnP1xJZAAcYmUVErxXqVDxjCIEptq0q4x8yARZhvuZK7o69Mbyz_x000d_
Pu/zTX1NqBkilIYru8pM1nRCf6T7MQ+OjXtB</vt:lpwstr>
  </property>
  <property fmtid="{D5CDD505-2E9C-101B-9397-08002B2CF9AE}" pid="17" name="_2015_ms_pID_7253431_00">
    <vt:lpwstr>_2015_ms_pID_7253431</vt:lpwstr>
  </property>
  <property fmtid="{D5CDD505-2E9C-101B-9397-08002B2CF9AE}" pid="18" name="_2015_ms_pID_7253432">
    <vt:lpwstr>Ww==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1603185265</vt:lpwstr>
  </property>
  <property fmtid="{D5CDD505-2E9C-101B-9397-08002B2CF9AE}" pid="23" name="KeyAssetLabel_HuaWei">
    <vt:lpwstr>{rGVDM6TEQtR5aLHL7Vby8NQXDKWFgL}</vt:lpwstr>
  </property>
</Properties>
</file>